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3308" w14:textId="6C7CB218" w:rsidR="00AE5561" w:rsidRDefault="00A86A21">
      <w:pPr>
        <w:rPr>
          <w:b/>
          <w:bCs/>
          <w:sz w:val="32"/>
          <w:szCs w:val="32"/>
          <w:u w:val="single"/>
        </w:rPr>
      </w:pPr>
      <w:r w:rsidRPr="00BE3F5F">
        <w:rPr>
          <w:b/>
          <w:bCs/>
          <w:sz w:val="32"/>
          <w:szCs w:val="32"/>
          <w:u w:val="single"/>
        </w:rPr>
        <w:t>Bury Older Peoples Network Action Plan 202</w:t>
      </w:r>
      <w:r w:rsidR="00815981">
        <w:rPr>
          <w:b/>
          <w:bCs/>
          <w:sz w:val="32"/>
          <w:szCs w:val="32"/>
          <w:u w:val="single"/>
        </w:rPr>
        <w:t>5</w:t>
      </w:r>
      <w:r w:rsidRPr="00BE3F5F">
        <w:rPr>
          <w:b/>
          <w:bCs/>
          <w:sz w:val="32"/>
          <w:szCs w:val="32"/>
          <w:u w:val="single"/>
        </w:rPr>
        <w:t>-202</w:t>
      </w:r>
      <w:r w:rsidR="00815981">
        <w:rPr>
          <w:b/>
          <w:bCs/>
          <w:sz w:val="32"/>
          <w:szCs w:val="32"/>
          <w:u w:val="single"/>
        </w:rPr>
        <w:t>6</w:t>
      </w:r>
    </w:p>
    <w:p w14:paraId="19CBF921" w14:textId="7641E20D" w:rsidR="00E3062D" w:rsidRPr="009B22FE" w:rsidRDefault="00E3062D" w:rsidP="00E3062D">
      <w:pPr>
        <w:rPr>
          <w:sz w:val="24"/>
          <w:szCs w:val="24"/>
        </w:rPr>
      </w:pPr>
      <w:r w:rsidRPr="009B22FE">
        <w:rPr>
          <w:sz w:val="24"/>
          <w:szCs w:val="24"/>
        </w:rPr>
        <w:t xml:space="preserve">The Bury Older People’s Network is </w:t>
      </w:r>
      <w:r w:rsidR="00F86F51">
        <w:rPr>
          <w:sz w:val="24"/>
          <w:szCs w:val="24"/>
        </w:rPr>
        <w:t>a forum</w:t>
      </w:r>
      <w:r w:rsidRPr="009B22FE">
        <w:rPr>
          <w:sz w:val="24"/>
          <w:szCs w:val="24"/>
        </w:rPr>
        <w:t xml:space="preserve"> for older people to have their voices heard on things that matter to them and to influence </w:t>
      </w:r>
      <w:r w:rsidR="00EF6863" w:rsidRPr="009B22FE">
        <w:rPr>
          <w:sz w:val="24"/>
          <w:szCs w:val="24"/>
        </w:rPr>
        <w:t>how</w:t>
      </w:r>
      <w:r w:rsidRPr="009B22FE">
        <w:rPr>
          <w:sz w:val="24"/>
          <w:szCs w:val="24"/>
        </w:rPr>
        <w:t xml:space="preserve"> services are designed, commissioned</w:t>
      </w:r>
      <w:r w:rsidR="00E420F1">
        <w:rPr>
          <w:sz w:val="24"/>
          <w:szCs w:val="24"/>
        </w:rPr>
        <w:t>,</w:t>
      </w:r>
      <w:r w:rsidRPr="009B22FE">
        <w:rPr>
          <w:sz w:val="24"/>
          <w:szCs w:val="24"/>
        </w:rPr>
        <w:t xml:space="preserve"> and delivered.  The </w:t>
      </w:r>
      <w:proofErr w:type="gramStart"/>
      <w:r w:rsidRPr="009B22FE">
        <w:rPr>
          <w:sz w:val="24"/>
          <w:szCs w:val="24"/>
        </w:rPr>
        <w:t>ultimate aim</w:t>
      </w:r>
      <w:proofErr w:type="gramEnd"/>
      <w:r w:rsidRPr="009B22FE">
        <w:rPr>
          <w:sz w:val="24"/>
          <w:szCs w:val="24"/>
        </w:rPr>
        <w:t xml:space="preserve"> is to create better outcomes for </w:t>
      </w:r>
      <w:r w:rsidR="00F86F51">
        <w:rPr>
          <w:sz w:val="24"/>
          <w:szCs w:val="24"/>
        </w:rPr>
        <w:t>older residents in Bury</w:t>
      </w:r>
      <w:r w:rsidRPr="009B22FE">
        <w:rPr>
          <w:sz w:val="24"/>
          <w:szCs w:val="24"/>
        </w:rPr>
        <w:t xml:space="preserve">. </w:t>
      </w:r>
    </w:p>
    <w:p w14:paraId="64695242" w14:textId="0136A6B6" w:rsidR="00815981" w:rsidRPr="001D326F" w:rsidRDefault="00EF6863" w:rsidP="001D326F">
      <w:pPr>
        <w:rPr>
          <w:sz w:val="24"/>
          <w:szCs w:val="24"/>
        </w:rPr>
      </w:pPr>
      <w:r w:rsidRPr="009B22FE">
        <w:rPr>
          <w:sz w:val="24"/>
          <w:szCs w:val="24"/>
        </w:rPr>
        <w:t xml:space="preserve">The BOPN and the Older People and Ageing Well </w:t>
      </w:r>
      <w:r w:rsidR="00F86F51">
        <w:rPr>
          <w:sz w:val="24"/>
          <w:szCs w:val="24"/>
        </w:rPr>
        <w:t>Steering</w:t>
      </w:r>
      <w:r w:rsidRPr="009B22FE">
        <w:rPr>
          <w:sz w:val="24"/>
          <w:szCs w:val="24"/>
        </w:rPr>
        <w:t xml:space="preserve"> Group will oversee the action plan to ensure it progresses and achieves</w:t>
      </w:r>
      <w:r w:rsidR="00E3062D" w:rsidRPr="009B22FE">
        <w:rPr>
          <w:sz w:val="24"/>
          <w:szCs w:val="24"/>
        </w:rPr>
        <w:t xml:space="preserve"> positive change. </w:t>
      </w:r>
    </w:p>
    <w:p w14:paraId="0931D38C" w14:textId="67BF3F6F" w:rsidR="00C200CF" w:rsidRPr="009B22FE" w:rsidRDefault="001D326F" w:rsidP="001D326F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2EF16E9A" wp14:editId="4359599D">
            <wp:extent cx="7814097" cy="5036820"/>
            <wp:effectExtent l="0" t="0" r="0" b="0"/>
            <wp:docPr id="1368222226" name="Picture 1" descr="A group of colorful ca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22226" name="Picture 1" descr="A group of colorful cards&#10;&#10;Description automatically generated with medium confidenc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" r="7666"/>
                    <a:stretch/>
                  </pic:blipFill>
                  <pic:spPr bwMode="auto">
                    <a:xfrm>
                      <a:off x="0" y="0"/>
                      <a:ext cx="7850651" cy="5060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2FE">
        <w:rPr>
          <w:sz w:val="32"/>
          <w:szCs w:val="32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1418"/>
        <w:gridCol w:w="2551"/>
        <w:gridCol w:w="3969"/>
      </w:tblGrid>
      <w:tr w:rsidR="009B22FE" w:rsidRPr="00E100E9" w14:paraId="2D4623B4" w14:textId="77777777" w:rsidTr="001D326F">
        <w:tc>
          <w:tcPr>
            <w:tcW w:w="14879" w:type="dxa"/>
            <w:gridSpan w:val="6"/>
            <w:shd w:val="clear" w:color="auto" w:fill="0070C0"/>
          </w:tcPr>
          <w:p w14:paraId="120678BF" w14:textId="70595CD8" w:rsidR="009B22FE" w:rsidRPr="00385AD5" w:rsidRDefault="009B22FE" w:rsidP="00385AD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Working Together – Ensuring the voice of older people is heard and acted upon (Nothing about us, without us)</w:t>
            </w:r>
          </w:p>
          <w:p w14:paraId="127F0096" w14:textId="2593AC35" w:rsidR="009B22FE" w:rsidRPr="00E100E9" w:rsidRDefault="009B2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1492" w:rsidRPr="00D80E48" w14:paraId="442E0922" w14:textId="77777777" w:rsidTr="001D326F">
        <w:tc>
          <w:tcPr>
            <w:tcW w:w="704" w:type="dxa"/>
          </w:tcPr>
          <w:p w14:paraId="6003A600" w14:textId="77777777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19A4FB" w14:textId="6D89F186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Area of Work</w:t>
            </w:r>
          </w:p>
        </w:tc>
        <w:tc>
          <w:tcPr>
            <w:tcW w:w="2977" w:type="dxa"/>
          </w:tcPr>
          <w:p w14:paraId="55DB028E" w14:textId="3BDED824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1418" w:type="dxa"/>
          </w:tcPr>
          <w:p w14:paraId="4DFDE577" w14:textId="2A9E30B3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2551" w:type="dxa"/>
          </w:tcPr>
          <w:p w14:paraId="2058E4F1" w14:textId="7D4219D5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969" w:type="dxa"/>
          </w:tcPr>
          <w:p w14:paraId="0D53BBCF" w14:textId="22730A99" w:rsidR="009B22FE" w:rsidRPr="00D80E48" w:rsidRDefault="009B22FE" w:rsidP="00C26039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Progress so far</w:t>
            </w:r>
          </w:p>
        </w:tc>
      </w:tr>
      <w:tr w:rsidR="007C1E70" w:rsidRPr="00D80E48" w14:paraId="030A0D43" w14:textId="77777777" w:rsidTr="001D326F">
        <w:tc>
          <w:tcPr>
            <w:tcW w:w="704" w:type="dxa"/>
            <w:vMerge w:val="restart"/>
            <w:textDirection w:val="btLr"/>
          </w:tcPr>
          <w:p w14:paraId="50B90F24" w14:textId="73F264DE" w:rsidR="00BC1492" w:rsidRPr="00BC1492" w:rsidRDefault="00CC661F" w:rsidP="00BC1492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Governance</w:t>
            </w:r>
          </w:p>
          <w:p w14:paraId="02C41128" w14:textId="6686AD92" w:rsidR="003C71FC" w:rsidRPr="00D80E48" w:rsidRDefault="003C71FC" w:rsidP="00BC1492"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144221" w14:textId="77777777" w:rsidR="003C71FC" w:rsidRDefault="003C71FC" w:rsidP="009B22FE">
            <w:pPr>
              <w:rPr>
                <w:sz w:val="24"/>
                <w:szCs w:val="24"/>
              </w:rPr>
            </w:pPr>
            <w:r w:rsidRPr="00D80E48">
              <w:rPr>
                <w:sz w:val="24"/>
                <w:szCs w:val="24"/>
              </w:rPr>
              <w:t xml:space="preserve">Regular </w:t>
            </w:r>
            <w:r w:rsidR="007A5FD3">
              <w:rPr>
                <w:sz w:val="24"/>
                <w:szCs w:val="24"/>
              </w:rPr>
              <w:t>e</w:t>
            </w:r>
            <w:r w:rsidRPr="00D80E48">
              <w:rPr>
                <w:sz w:val="24"/>
                <w:szCs w:val="24"/>
              </w:rPr>
              <w:t xml:space="preserve">ffective </w:t>
            </w:r>
            <w:r w:rsidR="007A5FD3">
              <w:rPr>
                <w:sz w:val="24"/>
                <w:szCs w:val="24"/>
              </w:rPr>
              <w:t>m</w:t>
            </w:r>
            <w:r w:rsidRPr="00D80E48">
              <w:rPr>
                <w:sz w:val="24"/>
                <w:szCs w:val="24"/>
              </w:rPr>
              <w:t>eetings of the Bury Older Peoples Network</w:t>
            </w:r>
            <w:r w:rsidR="00DE145C">
              <w:rPr>
                <w:sz w:val="24"/>
                <w:szCs w:val="24"/>
              </w:rPr>
              <w:t xml:space="preserve"> including appropriate representation of the older people of Bury</w:t>
            </w:r>
          </w:p>
          <w:p w14:paraId="36D2DD49" w14:textId="4A01EF97" w:rsidR="00141C1E" w:rsidRPr="00D80E48" w:rsidRDefault="00141C1E" w:rsidP="009B2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800460" w14:textId="04BECF57" w:rsidR="003C71FC" w:rsidRPr="00D80E48" w:rsidRDefault="003C71FC" w:rsidP="009B22FE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sz w:val="24"/>
                <w:szCs w:val="24"/>
              </w:rPr>
              <w:t xml:space="preserve">At least </w:t>
            </w:r>
            <w:r>
              <w:rPr>
                <w:sz w:val="24"/>
                <w:szCs w:val="24"/>
              </w:rPr>
              <w:t>10</w:t>
            </w:r>
            <w:r w:rsidRPr="00D80E48">
              <w:rPr>
                <w:sz w:val="24"/>
                <w:szCs w:val="24"/>
              </w:rPr>
              <w:t xml:space="preserve"> meetings</w:t>
            </w:r>
            <w:r>
              <w:rPr>
                <w:sz w:val="24"/>
                <w:szCs w:val="24"/>
              </w:rPr>
              <w:t xml:space="preserve"> or events</w:t>
            </w:r>
            <w:r w:rsidRPr="00D80E48">
              <w:rPr>
                <w:sz w:val="24"/>
                <w:szCs w:val="24"/>
              </w:rPr>
              <w:t xml:space="preserve"> per year to take place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434B2F7" w14:textId="2DF892DC" w:rsidR="003C71FC" w:rsidRPr="00D80E48" w:rsidRDefault="00775B89" w:rsidP="009B22F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BOPN / VCFA</w:t>
            </w:r>
          </w:p>
        </w:tc>
        <w:tc>
          <w:tcPr>
            <w:tcW w:w="2551" w:type="dxa"/>
          </w:tcPr>
          <w:p w14:paraId="44C26A46" w14:textId="3314FB49" w:rsidR="003C71FC" w:rsidRPr="00D80E48" w:rsidRDefault="00831B47" w:rsidP="009B22F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7606ADFB" w14:textId="715FC230" w:rsidR="003C71FC" w:rsidRDefault="003C71FC" w:rsidP="009B2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Monthly </w:t>
            </w:r>
            <w:r w:rsidR="003051B3">
              <w:rPr>
                <w:sz w:val="24"/>
                <w:szCs w:val="24"/>
              </w:rPr>
              <w:t>meetings/events</w:t>
            </w:r>
            <w:r>
              <w:rPr>
                <w:sz w:val="24"/>
                <w:szCs w:val="24"/>
              </w:rPr>
              <w:t xml:space="preserve"> scheduled except </w:t>
            </w:r>
            <w:r w:rsidR="003B1783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August &amp; December (Holidays)</w:t>
            </w:r>
            <w:r w:rsidR="00CC661F">
              <w:rPr>
                <w:sz w:val="24"/>
                <w:szCs w:val="24"/>
              </w:rPr>
              <w:t>.</w:t>
            </w:r>
          </w:p>
          <w:p w14:paraId="2C238D73" w14:textId="77777777" w:rsidR="00CC661F" w:rsidRDefault="00CC661F" w:rsidP="009B22FE">
            <w:pPr>
              <w:rPr>
                <w:sz w:val="24"/>
                <w:szCs w:val="24"/>
              </w:rPr>
            </w:pPr>
          </w:p>
          <w:p w14:paraId="01FA05B3" w14:textId="18E39A10" w:rsidR="00CC661F" w:rsidRDefault="00CC661F" w:rsidP="009B2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Away Day - January</w:t>
            </w:r>
          </w:p>
          <w:p w14:paraId="7173D046" w14:textId="77777777" w:rsidR="003C71FC" w:rsidRPr="00D80E48" w:rsidRDefault="003C71FC" w:rsidP="009B22F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C1E70" w:rsidRPr="00D80E48" w14:paraId="55282E79" w14:textId="77777777" w:rsidTr="001D326F">
        <w:tc>
          <w:tcPr>
            <w:tcW w:w="704" w:type="dxa"/>
            <w:vMerge/>
          </w:tcPr>
          <w:p w14:paraId="7480624C" w14:textId="77777777" w:rsidR="003C71FC" w:rsidRDefault="003C71FC" w:rsidP="00BA21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4800A8" w14:textId="4BEB6FE2" w:rsidR="003C71FC" w:rsidRDefault="003C71FC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membership for VCSE Organisations</w:t>
            </w:r>
          </w:p>
        </w:tc>
        <w:tc>
          <w:tcPr>
            <w:tcW w:w="2977" w:type="dxa"/>
          </w:tcPr>
          <w:p w14:paraId="65FCE38B" w14:textId="77777777" w:rsidR="00AE0CCC" w:rsidRPr="00F86F51" w:rsidRDefault="003C71FC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Associate membership to the </w:t>
            </w:r>
            <w:r w:rsidRPr="00F86F51">
              <w:rPr>
                <w:sz w:val="24"/>
                <w:szCs w:val="24"/>
              </w:rPr>
              <w:t>network to enable organisations to</w:t>
            </w:r>
            <w:r w:rsidR="00AE0CCC" w:rsidRPr="00F86F51">
              <w:rPr>
                <w:sz w:val="24"/>
                <w:szCs w:val="24"/>
              </w:rPr>
              <w:t>:</w:t>
            </w:r>
          </w:p>
          <w:p w14:paraId="741F7FBE" w14:textId="7ADD9B6B" w:rsidR="00AE0CCC" w:rsidRPr="00F86F51" w:rsidRDefault="00AE0CCC" w:rsidP="00AE0CC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86F51">
              <w:rPr>
                <w:sz w:val="24"/>
                <w:szCs w:val="24"/>
              </w:rPr>
              <w:t xml:space="preserve">Identify a key </w:t>
            </w:r>
            <w:r w:rsidR="00DE145C" w:rsidRPr="00F86F51">
              <w:rPr>
                <w:sz w:val="24"/>
                <w:szCs w:val="24"/>
              </w:rPr>
              <w:t>representative</w:t>
            </w:r>
          </w:p>
          <w:p w14:paraId="7686E4ED" w14:textId="5C732636" w:rsidR="00AE0CCC" w:rsidRDefault="00AE0CCC" w:rsidP="00AE0CC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86F51">
              <w:rPr>
                <w:sz w:val="24"/>
                <w:szCs w:val="24"/>
              </w:rPr>
              <w:t>C</w:t>
            </w:r>
            <w:r w:rsidR="003C71FC" w:rsidRPr="00F86F51">
              <w:rPr>
                <w:sz w:val="24"/>
                <w:szCs w:val="24"/>
              </w:rPr>
              <w:t>hampion and cascade information</w:t>
            </w:r>
            <w:r w:rsidR="003B1783">
              <w:rPr>
                <w:sz w:val="24"/>
                <w:szCs w:val="24"/>
              </w:rPr>
              <w:t xml:space="preserve"> (including sharing and promoting the minutes)</w:t>
            </w:r>
            <w:r w:rsidR="003C71FC" w:rsidRPr="00F86F51">
              <w:rPr>
                <w:sz w:val="24"/>
                <w:szCs w:val="24"/>
              </w:rPr>
              <w:t xml:space="preserve"> to </w:t>
            </w:r>
            <w:r w:rsidR="003C71FC" w:rsidRPr="00AE0CCC">
              <w:rPr>
                <w:sz w:val="24"/>
                <w:szCs w:val="24"/>
              </w:rPr>
              <w:t>those unable to attend</w:t>
            </w:r>
            <w:r w:rsidRPr="00AE0CCC">
              <w:rPr>
                <w:sz w:val="24"/>
                <w:szCs w:val="24"/>
              </w:rPr>
              <w:t>.</w:t>
            </w:r>
          </w:p>
          <w:p w14:paraId="714E2164" w14:textId="1F3EEA9F" w:rsidR="00141C1E" w:rsidRPr="00F86F51" w:rsidRDefault="00141C1E" w:rsidP="00F86F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63FCFA" w14:textId="30C209F7" w:rsidR="003C71FC" w:rsidRPr="000223EB" w:rsidRDefault="00775B89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BOPN/ VCFA</w:t>
            </w:r>
          </w:p>
        </w:tc>
        <w:tc>
          <w:tcPr>
            <w:tcW w:w="2551" w:type="dxa"/>
          </w:tcPr>
          <w:p w14:paraId="5FECE234" w14:textId="799AF82A" w:rsidR="007B7095" w:rsidRDefault="00DE145C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2025</w:t>
            </w:r>
          </w:p>
        </w:tc>
        <w:tc>
          <w:tcPr>
            <w:tcW w:w="3969" w:type="dxa"/>
          </w:tcPr>
          <w:p w14:paraId="1DAEC780" w14:textId="488DBC62" w:rsidR="007A5FD3" w:rsidRDefault="007A5FD3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Note, </w:t>
            </w:r>
            <w:r w:rsidR="003B1783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 xml:space="preserve">associate members </w:t>
            </w:r>
            <w:r w:rsidR="00664FEA">
              <w:rPr>
                <w:sz w:val="24"/>
                <w:szCs w:val="24"/>
              </w:rPr>
              <w:t xml:space="preserve">are welcome to attend as and when relevant but </w:t>
            </w:r>
            <w:r>
              <w:rPr>
                <w:sz w:val="24"/>
                <w:szCs w:val="24"/>
              </w:rPr>
              <w:t>must not overpower the voice of core members</w:t>
            </w:r>
          </w:p>
        </w:tc>
      </w:tr>
      <w:tr w:rsidR="00BC1492" w:rsidRPr="00D80E48" w14:paraId="1B76864B" w14:textId="77777777" w:rsidTr="001D326F">
        <w:tc>
          <w:tcPr>
            <w:tcW w:w="704" w:type="dxa"/>
            <w:vMerge w:val="restart"/>
            <w:textDirection w:val="btLr"/>
            <w:vAlign w:val="center"/>
          </w:tcPr>
          <w:p w14:paraId="5D73E9F0" w14:textId="003629C9" w:rsidR="00BC1492" w:rsidRPr="00F03780" w:rsidRDefault="00BC1492" w:rsidP="00BC1492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F03780">
              <w:rPr>
                <w:b/>
                <w:bCs/>
                <w:sz w:val="32"/>
                <w:szCs w:val="32"/>
              </w:rPr>
              <w:t>Represent</w:t>
            </w:r>
          </w:p>
        </w:tc>
        <w:tc>
          <w:tcPr>
            <w:tcW w:w="3260" w:type="dxa"/>
          </w:tcPr>
          <w:p w14:paraId="42E273C7" w14:textId="6E29AB41" w:rsidR="00BC1492" w:rsidRPr="00D80E48" w:rsidRDefault="00BC1492" w:rsidP="00BA211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Ensuring continued ownership and leadership of the BOPN by the network members</w:t>
            </w:r>
          </w:p>
        </w:tc>
        <w:tc>
          <w:tcPr>
            <w:tcW w:w="2977" w:type="dxa"/>
          </w:tcPr>
          <w:p w14:paraId="04808019" w14:textId="64C6F6EE" w:rsidR="00BC1492" w:rsidRPr="003A07A0" w:rsidRDefault="00BC1492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Ensuring leadership</w:t>
            </w:r>
            <w:r w:rsidR="00053E73">
              <w:rPr>
                <w:sz w:val="24"/>
                <w:szCs w:val="24"/>
              </w:rPr>
              <w:t>, ownership,</w:t>
            </w:r>
            <w:r>
              <w:rPr>
                <w:sz w:val="24"/>
                <w:szCs w:val="24"/>
              </w:rPr>
              <w:t xml:space="preserve"> and representation within the network</w:t>
            </w:r>
          </w:p>
        </w:tc>
        <w:tc>
          <w:tcPr>
            <w:tcW w:w="1418" w:type="dxa"/>
          </w:tcPr>
          <w:p w14:paraId="50BEFAA6" w14:textId="7E029B3D" w:rsidR="00BC1492" w:rsidRPr="00D80E48" w:rsidRDefault="00BC1492" w:rsidP="00BA211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Members</w:t>
            </w:r>
          </w:p>
        </w:tc>
        <w:tc>
          <w:tcPr>
            <w:tcW w:w="2551" w:type="dxa"/>
          </w:tcPr>
          <w:p w14:paraId="450A7024" w14:textId="568E2E05" w:rsidR="00BC1492" w:rsidRDefault="00F86F51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2025</w:t>
            </w:r>
          </w:p>
          <w:p w14:paraId="3C7CEE05" w14:textId="77777777" w:rsidR="00BC1492" w:rsidRDefault="00BC1492" w:rsidP="00BA2111">
            <w:pPr>
              <w:rPr>
                <w:sz w:val="24"/>
                <w:szCs w:val="24"/>
              </w:rPr>
            </w:pPr>
          </w:p>
          <w:p w14:paraId="49A29BA7" w14:textId="3847B079" w:rsidR="00BC1492" w:rsidRPr="00D80E48" w:rsidRDefault="00BC1492" w:rsidP="00BA21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6895B0" w14:textId="0ABE25C2" w:rsidR="00BC1492" w:rsidRDefault="00BC1492" w:rsidP="00BA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– Joann</w:t>
            </w:r>
            <w:r w:rsidR="00664FE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Mawdsley</w:t>
            </w:r>
          </w:p>
          <w:p w14:paraId="46C320E1" w14:textId="77777777" w:rsidR="000B7DCE" w:rsidRDefault="000B7DCE" w:rsidP="00BA2111">
            <w:pPr>
              <w:rPr>
                <w:color w:val="FF0000"/>
                <w:sz w:val="24"/>
                <w:szCs w:val="24"/>
              </w:rPr>
            </w:pPr>
          </w:p>
          <w:p w14:paraId="7E3A3E57" w14:textId="64B0F731" w:rsidR="000B7DCE" w:rsidRPr="00F73E22" w:rsidRDefault="00BC1492" w:rsidP="00BA2111">
            <w:pPr>
              <w:rPr>
                <w:sz w:val="24"/>
                <w:szCs w:val="24"/>
              </w:rPr>
            </w:pPr>
            <w:r w:rsidRPr="00E67D39">
              <w:rPr>
                <w:sz w:val="24"/>
                <w:szCs w:val="24"/>
              </w:rPr>
              <w:t>Need to look at additional roles – reps / vice chair</w:t>
            </w:r>
            <w:r w:rsidR="00053E73">
              <w:rPr>
                <w:sz w:val="24"/>
                <w:szCs w:val="24"/>
              </w:rPr>
              <w:t>/ minute taker</w:t>
            </w:r>
          </w:p>
        </w:tc>
      </w:tr>
      <w:tr w:rsidR="00BC1492" w:rsidRPr="007E0B94" w14:paraId="71D953D2" w14:textId="77777777" w:rsidTr="001D326F">
        <w:tc>
          <w:tcPr>
            <w:tcW w:w="704" w:type="dxa"/>
            <w:vMerge/>
          </w:tcPr>
          <w:p w14:paraId="0837AD69" w14:textId="77777777" w:rsidR="00BC1492" w:rsidRPr="007E0B94" w:rsidRDefault="00BC1492" w:rsidP="007E0B9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9473918" w14:textId="77777777" w:rsidR="00BC1492" w:rsidRDefault="00BC1492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 Participations – voice and reps on other networks and forums</w:t>
            </w:r>
          </w:p>
          <w:p w14:paraId="5B045355" w14:textId="05CEB649" w:rsidR="00141C1E" w:rsidRPr="007E0B94" w:rsidRDefault="00141C1E" w:rsidP="007E0B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FDDAF0" w14:textId="7936B849" w:rsidR="00BC1492" w:rsidRPr="007E0B94" w:rsidRDefault="00BC1492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Ensuring representation from the network on key Bury and GM Forum</w:t>
            </w:r>
            <w:r w:rsidR="00BE5159">
              <w:rPr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14:paraId="58C51B14" w14:textId="64C2E8B1" w:rsidR="00BC1492" w:rsidRPr="007E0B94" w:rsidRDefault="00BC1492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Members</w:t>
            </w:r>
          </w:p>
        </w:tc>
        <w:tc>
          <w:tcPr>
            <w:tcW w:w="2551" w:type="dxa"/>
          </w:tcPr>
          <w:p w14:paraId="1CACABB4" w14:textId="01D0B562" w:rsidR="00BC1492" w:rsidRPr="007E0B94" w:rsidRDefault="00BC1492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</w:t>
            </w:r>
            <w:r w:rsidR="001D326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oing</w:t>
            </w:r>
          </w:p>
        </w:tc>
        <w:tc>
          <w:tcPr>
            <w:tcW w:w="3969" w:type="dxa"/>
          </w:tcPr>
          <w:p w14:paraId="7410A2C1" w14:textId="6BB7A2A9" w:rsidR="00BE5159" w:rsidRDefault="00E67D39" w:rsidP="007E0B94">
            <w:pPr>
              <w:rPr>
                <w:sz w:val="24"/>
                <w:szCs w:val="24"/>
              </w:rPr>
            </w:pPr>
            <w:r w:rsidRPr="00E67D39">
              <w:rPr>
                <w:sz w:val="24"/>
                <w:szCs w:val="24"/>
              </w:rPr>
              <w:t>Current representative</w:t>
            </w:r>
            <w:r w:rsidR="00BE5159">
              <w:rPr>
                <w:sz w:val="24"/>
                <w:szCs w:val="24"/>
              </w:rPr>
              <w:t>s</w:t>
            </w:r>
            <w:r w:rsidRPr="00E67D39">
              <w:rPr>
                <w:sz w:val="24"/>
                <w:szCs w:val="24"/>
              </w:rPr>
              <w:t xml:space="preserve"> on other groups </w:t>
            </w:r>
            <w:r w:rsidR="003C22F4">
              <w:rPr>
                <w:sz w:val="24"/>
                <w:szCs w:val="24"/>
              </w:rPr>
              <w:t xml:space="preserve">include </w:t>
            </w:r>
            <w:r w:rsidR="00522EBE">
              <w:rPr>
                <w:sz w:val="24"/>
                <w:szCs w:val="24"/>
              </w:rPr>
              <w:t>Social Care Future</w:t>
            </w:r>
            <w:r w:rsidR="003C22F4">
              <w:rPr>
                <w:sz w:val="24"/>
                <w:szCs w:val="24"/>
              </w:rPr>
              <w:t>, GM Older Peoples Network and Bury LGBTQI</w:t>
            </w:r>
            <w:r w:rsidR="00F2510D">
              <w:rPr>
                <w:sz w:val="24"/>
                <w:szCs w:val="24"/>
              </w:rPr>
              <w:t>+ Forum</w:t>
            </w:r>
          </w:p>
          <w:p w14:paraId="2743DF46" w14:textId="07CF18A1" w:rsidR="00944603" w:rsidRPr="00141C1E" w:rsidRDefault="00944603" w:rsidP="007E0B94">
            <w:pPr>
              <w:rPr>
                <w:color w:val="FF0000"/>
                <w:sz w:val="24"/>
                <w:szCs w:val="24"/>
              </w:rPr>
            </w:pPr>
          </w:p>
        </w:tc>
      </w:tr>
      <w:tr w:rsidR="002D1A35" w:rsidRPr="007E0B94" w14:paraId="503E4FCA" w14:textId="77777777" w:rsidTr="001D326F">
        <w:tc>
          <w:tcPr>
            <w:tcW w:w="704" w:type="dxa"/>
          </w:tcPr>
          <w:p w14:paraId="615AA801" w14:textId="77777777" w:rsidR="002D1A35" w:rsidRPr="007E0B94" w:rsidRDefault="002D1A35" w:rsidP="007E0B9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EC1576" w14:textId="77777777" w:rsidR="002D1A35" w:rsidRDefault="002D1A35" w:rsidP="007E0B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004DAD" w14:textId="570F46CB" w:rsidR="002D1A35" w:rsidRPr="00522EBE" w:rsidRDefault="00677860" w:rsidP="007E0B94">
            <w:pPr>
              <w:rPr>
                <w:sz w:val="24"/>
                <w:szCs w:val="24"/>
              </w:rPr>
            </w:pPr>
            <w:r w:rsidRPr="00522EBE">
              <w:rPr>
                <w:sz w:val="24"/>
                <w:szCs w:val="24"/>
              </w:rPr>
              <w:t xml:space="preserve">Bury Age Friendly Strategy Consultation </w:t>
            </w:r>
            <w:r w:rsidR="00522EBE" w:rsidRPr="00522EBE">
              <w:rPr>
                <w:sz w:val="24"/>
                <w:szCs w:val="24"/>
              </w:rPr>
              <w:t>– support and insight</w:t>
            </w:r>
          </w:p>
        </w:tc>
        <w:tc>
          <w:tcPr>
            <w:tcW w:w="1418" w:type="dxa"/>
          </w:tcPr>
          <w:p w14:paraId="47B0986D" w14:textId="037DCF77" w:rsidR="002D1A35" w:rsidRPr="00522EBE" w:rsidRDefault="00677860" w:rsidP="007E0B94">
            <w:pPr>
              <w:rPr>
                <w:sz w:val="24"/>
                <w:szCs w:val="24"/>
              </w:rPr>
            </w:pPr>
            <w:r w:rsidRPr="00522EBE">
              <w:rPr>
                <w:sz w:val="24"/>
                <w:szCs w:val="24"/>
              </w:rPr>
              <w:t>BOPN / VCFA &amp; Bury Council</w:t>
            </w:r>
          </w:p>
        </w:tc>
        <w:tc>
          <w:tcPr>
            <w:tcW w:w="2551" w:type="dxa"/>
          </w:tcPr>
          <w:p w14:paraId="5CD45860" w14:textId="3080EB12" w:rsidR="002D1A35" w:rsidRPr="00522EBE" w:rsidRDefault="00522EBE" w:rsidP="007E0B94">
            <w:pPr>
              <w:rPr>
                <w:sz w:val="24"/>
                <w:szCs w:val="24"/>
              </w:rPr>
            </w:pPr>
            <w:r w:rsidRPr="00522EBE">
              <w:rPr>
                <w:sz w:val="24"/>
                <w:szCs w:val="24"/>
              </w:rPr>
              <w:t xml:space="preserve">Spring / Summer </w:t>
            </w:r>
            <w:r w:rsidR="00677860" w:rsidRPr="00522EBE">
              <w:rPr>
                <w:sz w:val="24"/>
                <w:szCs w:val="24"/>
              </w:rPr>
              <w:t>2025</w:t>
            </w:r>
          </w:p>
        </w:tc>
        <w:tc>
          <w:tcPr>
            <w:tcW w:w="3969" w:type="dxa"/>
          </w:tcPr>
          <w:p w14:paraId="7C756418" w14:textId="2F814262" w:rsidR="002D1A35" w:rsidRDefault="00522EBE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Awaiting details of </w:t>
            </w:r>
            <w:r w:rsidR="00F2510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consultation.</w:t>
            </w:r>
          </w:p>
          <w:p w14:paraId="594F3F5A" w14:textId="27B8850F" w:rsidR="00522EBE" w:rsidRPr="00E67D39" w:rsidRDefault="00522EBE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Connected with Social Care Futures insight.</w:t>
            </w:r>
          </w:p>
        </w:tc>
      </w:tr>
      <w:tr w:rsidR="00F03780" w:rsidRPr="00D80E48" w14:paraId="091931A8" w14:textId="77777777" w:rsidTr="001D326F">
        <w:tc>
          <w:tcPr>
            <w:tcW w:w="704" w:type="dxa"/>
            <w:vMerge w:val="restart"/>
            <w:textDirection w:val="btLr"/>
          </w:tcPr>
          <w:p w14:paraId="70E0DAF0" w14:textId="7787B6B9" w:rsidR="00F03780" w:rsidRPr="00F03780" w:rsidRDefault="00F03780" w:rsidP="00F03780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Communication</w:t>
            </w:r>
          </w:p>
        </w:tc>
        <w:tc>
          <w:tcPr>
            <w:tcW w:w="3260" w:type="dxa"/>
          </w:tcPr>
          <w:p w14:paraId="356355D8" w14:textId="7CED6DAC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 and </w:t>
            </w:r>
            <w:r w:rsidR="00C65AF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aintenance of BOPN Online presence</w:t>
            </w:r>
          </w:p>
          <w:p w14:paraId="52919D69" w14:textId="50E3E964" w:rsidR="00F03780" w:rsidRDefault="00F03780" w:rsidP="007E0B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750A727" w14:textId="3B694968" w:rsidR="00F03780" w:rsidRPr="00AF74F1" w:rsidRDefault="00F03780" w:rsidP="00AF74F1">
            <w:pPr>
              <w:rPr>
                <w:sz w:val="24"/>
                <w:szCs w:val="24"/>
              </w:rPr>
            </w:pPr>
            <w:r w:rsidRPr="00AF74F1">
              <w:rPr>
                <w:sz w:val="24"/>
                <w:szCs w:val="24"/>
              </w:rPr>
              <w:t xml:space="preserve">Website </w:t>
            </w:r>
            <w:r>
              <w:rPr>
                <w:sz w:val="24"/>
                <w:szCs w:val="24"/>
              </w:rPr>
              <w:t>maintenance</w:t>
            </w:r>
            <w:r w:rsidR="00C65AFA">
              <w:rPr>
                <w:sz w:val="24"/>
                <w:szCs w:val="24"/>
              </w:rPr>
              <w:t xml:space="preserve"> and social media presence</w:t>
            </w:r>
          </w:p>
        </w:tc>
        <w:tc>
          <w:tcPr>
            <w:tcW w:w="1418" w:type="dxa"/>
          </w:tcPr>
          <w:p w14:paraId="2C294D20" w14:textId="51362804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VCFA</w:t>
            </w:r>
          </w:p>
        </w:tc>
        <w:tc>
          <w:tcPr>
            <w:tcW w:w="2551" w:type="dxa"/>
          </w:tcPr>
          <w:p w14:paraId="12FF4403" w14:textId="49A8BEC8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  <w:p w14:paraId="008C4310" w14:textId="77777777" w:rsidR="00F03780" w:rsidRDefault="00F03780" w:rsidP="007E0B94">
            <w:pPr>
              <w:rPr>
                <w:sz w:val="24"/>
                <w:szCs w:val="24"/>
              </w:rPr>
            </w:pPr>
          </w:p>
          <w:p w14:paraId="0B5282E9" w14:textId="77777777" w:rsidR="00F03780" w:rsidRDefault="00F03780" w:rsidP="007E0B94">
            <w:pPr>
              <w:rPr>
                <w:sz w:val="24"/>
                <w:szCs w:val="24"/>
              </w:rPr>
            </w:pPr>
          </w:p>
          <w:p w14:paraId="478082D1" w14:textId="5131E0C3" w:rsidR="00F03780" w:rsidRDefault="00F03780" w:rsidP="007E0B9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E7DE189" w14:textId="36A6DBD9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webpage hosted on the VCFA website</w:t>
            </w:r>
            <w:r w:rsidR="00C65AFA">
              <w:rPr>
                <w:sz w:val="24"/>
                <w:szCs w:val="24"/>
              </w:rPr>
              <w:t xml:space="preserve"> </w:t>
            </w:r>
            <w:r w:rsidR="00072763">
              <w:rPr>
                <w:sz w:val="24"/>
                <w:szCs w:val="24"/>
              </w:rPr>
              <w:t xml:space="preserve">is </w:t>
            </w:r>
            <w:r w:rsidR="00C65AFA">
              <w:rPr>
                <w:sz w:val="24"/>
                <w:szCs w:val="24"/>
              </w:rPr>
              <w:t>updated monthly</w:t>
            </w:r>
            <w:r w:rsidR="00072763">
              <w:rPr>
                <w:sz w:val="24"/>
                <w:szCs w:val="24"/>
              </w:rPr>
              <w:t>, including minutes etc.</w:t>
            </w:r>
          </w:p>
          <w:p w14:paraId="0BFB9D36" w14:textId="77777777" w:rsidR="00F03780" w:rsidRDefault="00F03780" w:rsidP="007E0B94">
            <w:pPr>
              <w:rPr>
                <w:sz w:val="24"/>
                <w:szCs w:val="24"/>
              </w:rPr>
            </w:pPr>
          </w:p>
          <w:p w14:paraId="5C774CFB" w14:textId="77777777" w:rsidR="00F03780" w:rsidRDefault="00F03780" w:rsidP="00FE5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assets produced promoting the network</w:t>
            </w:r>
          </w:p>
          <w:p w14:paraId="5BB99481" w14:textId="77777777" w:rsidR="00880F26" w:rsidRDefault="00880F26" w:rsidP="00FE53EF">
            <w:pPr>
              <w:rPr>
                <w:sz w:val="24"/>
                <w:szCs w:val="24"/>
              </w:rPr>
            </w:pPr>
          </w:p>
          <w:p w14:paraId="14618BDB" w14:textId="77777777" w:rsidR="00880F26" w:rsidRDefault="00880F26" w:rsidP="00FE5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 page under development</w:t>
            </w:r>
          </w:p>
          <w:p w14:paraId="28275CA0" w14:textId="17756F8A" w:rsidR="001D326F" w:rsidRPr="00087245" w:rsidRDefault="001D326F" w:rsidP="00FE53EF">
            <w:pPr>
              <w:rPr>
                <w:sz w:val="24"/>
                <w:szCs w:val="24"/>
              </w:rPr>
            </w:pPr>
          </w:p>
        </w:tc>
      </w:tr>
      <w:tr w:rsidR="00F03780" w:rsidRPr="00D80E48" w14:paraId="42EAB60C" w14:textId="77777777" w:rsidTr="001D326F">
        <w:tc>
          <w:tcPr>
            <w:tcW w:w="704" w:type="dxa"/>
            <w:vMerge/>
          </w:tcPr>
          <w:p w14:paraId="572CDA80" w14:textId="77777777" w:rsidR="00F03780" w:rsidRDefault="00F03780" w:rsidP="007E0B9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EC74E91" w14:textId="080B2B55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and maintain physical marketing materials to support the network</w:t>
            </w:r>
          </w:p>
        </w:tc>
        <w:tc>
          <w:tcPr>
            <w:tcW w:w="2977" w:type="dxa"/>
          </w:tcPr>
          <w:p w14:paraId="3D9A4C58" w14:textId="77777777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Postcards</w:t>
            </w:r>
            <w:r w:rsidR="009A725C">
              <w:rPr>
                <w:sz w:val="24"/>
                <w:szCs w:val="24"/>
              </w:rPr>
              <w:t xml:space="preserve"> and m</w:t>
            </w:r>
            <w:r>
              <w:rPr>
                <w:sz w:val="24"/>
                <w:szCs w:val="24"/>
              </w:rPr>
              <w:t xml:space="preserve">aterials for </w:t>
            </w:r>
            <w:r w:rsidR="009A725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vents</w:t>
            </w:r>
            <w:r w:rsidR="00BF2CF7">
              <w:rPr>
                <w:sz w:val="24"/>
                <w:szCs w:val="24"/>
              </w:rPr>
              <w:t xml:space="preserve"> </w:t>
            </w:r>
          </w:p>
          <w:p w14:paraId="4DA04337" w14:textId="77777777" w:rsidR="00BF2CF7" w:rsidRDefault="00BF2CF7" w:rsidP="007E0B94">
            <w:pPr>
              <w:rPr>
                <w:sz w:val="24"/>
                <w:szCs w:val="24"/>
              </w:rPr>
            </w:pPr>
          </w:p>
          <w:p w14:paraId="6F1E0A5B" w14:textId="5874DB65" w:rsidR="00BF2CF7" w:rsidRDefault="00BF2CF7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 an awareness of events that members may attend</w:t>
            </w:r>
          </w:p>
        </w:tc>
        <w:tc>
          <w:tcPr>
            <w:tcW w:w="1418" w:type="dxa"/>
          </w:tcPr>
          <w:p w14:paraId="6E8044A9" w14:textId="3E76D63B" w:rsidR="00F03780" w:rsidRDefault="00F03780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VCFA</w:t>
            </w:r>
          </w:p>
        </w:tc>
        <w:tc>
          <w:tcPr>
            <w:tcW w:w="2551" w:type="dxa"/>
          </w:tcPr>
          <w:p w14:paraId="49D6EE1F" w14:textId="0848CAD8" w:rsidR="00F03780" w:rsidRDefault="009A725C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5579F64C" w14:textId="42C1AADC" w:rsidR="00F03780" w:rsidRDefault="009A725C" w:rsidP="007E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Postcards and p</w:t>
            </w:r>
            <w:r w:rsidR="00C4097E">
              <w:rPr>
                <w:sz w:val="24"/>
                <w:szCs w:val="24"/>
              </w:rPr>
              <w:t xml:space="preserve">romotional </w:t>
            </w:r>
            <w:r>
              <w:rPr>
                <w:sz w:val="24"/>
                <w:szCs w:val="24"/>
              </w:rPr>
              <w:t>p</w:t>
            </w:r>
            <w:r w:rsidR="00C4097E">
              <w:rPr>
                <w:sz w:val="24"/>
                <w:szCs w:val="24"/>
              </w:rPr>
              <w:t>ens produced</w:t>
            </w:r>
          </w:p>
        </w:tc>
      </w:tr>
    </w:tbl>
    <w:p w14:paraId="4457A541" w14:textId="77777777" w:rsidR="00BF2CF7" w:rsidRDefault="00BF2CF7"/>
    <w:p w14:paraId="17450BC8" w14:textId="77777777" w:rsidR="001D326F" w:rsidRDefault="001D326F"/>
    <w:p w14:paraId="41E7EF1A" w14:textId="77777777" w:rsidR="001D326F" w:rsidRDefault="001D326F"/>
    <w:p w14:paraId="384B69BC" w14:textId="77777777" w:rsidR="001D326F" w:rsidRDefault="001D326F"/>
    <w:p w14:paraId="464CF2C0" w14:textId="77777777" w:rsidR="001D326F" w:rsidRDefault="001D326F"/>
    <w:p w14:paraId="34AE4603" w14:textId="77777777" w:rsidR="001D326F" w:rsidRDefault="001D326F"/>
    <w:p w14:paraId="28ECCCD7" w14:textId="77777777" w:rsidR="001D326F" w:rsidRDefault="001D326F"/>
    <w:p w14:paraId="531FF447" w14:textId="77777777" w:rsidR="001D326F" w:rsidRDefault="001D326F"/>
    <w:p w14:paraId="54D26867" w14:textId="77777777" w:rsidR="001D326F" w:rsidRDefault="001D326F"/>
    <w:p w14:paraId="330BB629" w14:textId="77777777" w:rsidR="001D326F" w:rsidRDefault="001D326F"/>
    <w:p w14:paraId="4686E7A4" w14:textId="77777777" w:rsidR="001D326F" w:rsidRDefault="001D326F"/>
    <w:p w14:paraId="57AA4EEC" w14:textId="77777777" w:rsidR="001D326F" w:rsidRDefault="001D326F"/>
    <w:p w14:paraId="6601535E" w14:textId="77777777" w:rsidR="001D326F" w:rsidRDefault="001D3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3034"/>
        <w:gridCol w:w="2777"/>
        <w:gridCol w:w="1402"/>
        <w:gridCol w:w="2155"/>
        <w:gridCol w:w="3969"/>
      </w:tblGrid>
      <w:tr w:rsidR="007C1E70" w:rsidRPr="00D80E48" w14:paraId="2536651E" w14:textId="77777777" w:rsidTr="001D326F">
        <w:tc>
          <w:tcPr>
            <w:tcW w:w="14879" w:type="dxa"/>
            <w:gridSpan w:val="6"/>
            <w:shd w:val="clear" w:color="auto" w:fill="70AD47" w:themeFill="accent6"/>
          </w:tcPr>
          <w:p w14:paraId="754C153E" w14:textId="085440AE" w:rsidR="007C1E70" w:rsidRPr="00385AD5" w:rsidRDefault="007C1E70" w:rsidP="00385AD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t>Places – Older People can travel and enjoy the places and spaces of Bury</w:t>
            </w:r>
          </w:p>
          <w:p w14:paraId="66D8C625" w14:textId="1059E147" w:rsidR="007C1E70" w:rsidRPr="00BA6298" w:rsidRDefault="007C1E70" w:rsidP="008D6E41">
            <w:pPr>
              <w:rPr>
                <w:sz w:val="28"/>
                <w:szCs w:val="28"/>
              </w:rPr>
            </w:pPr>
          </w:p>
        </w:tc>
      </w:tr>
      <w:tr w:rsidR="00455A58" w:rsidRPr="00D80E48" w14:paraId="037E4F0B" w14:textId="77777777" w:rsidTr="001D326F">
        <w:tc>
          <w:tcPr>
            <w:tcW w:w="1542" w:type="dxa"/>
          </w:tcPr>
          <w:p w14:paraId="6A69AB0B" w14:textId="77777777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4" w:type="dxa"/>
          </w:tcPr>
          <w:p w14:paraId="32D1E40D" w14:textId="19298F43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Area of Work</w:t>
            </w:r>
          </w:p>
        </w:tc>
        <w:tc>
          <w:tcPr>
            <w:tcW w:w="2777" w:type="dxa"/>
          </w:tcPr>
          <w:p w14:paraId="39268A62" w14:textId="77777777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1402" w:type="dxa"/>
          </w:tcPr>
          <w:p w14:paraId="1697AC45" w14:textId="77777777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2155" w:type="dxa"/>
          </w:tcPr>
          <w:p w14:paraId="53B87E4D" w14:textId="77777777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969" w:type="dxa"/>
          </w:tcPr>
          <w:p w14:paraId="67D22264" w14:textId="77777777" w:rsidR="007C1E70" w:rsidRPr="00D80E48" w:rsidRDefault="007C1E70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Progress so far</w:t>
            </w:r>
          </w:p>
        </w:tc>
      </w:tr>
      <w:tr w:rsidR="004B7E72" w:rsidRPr="00D80E48" w14:paraId="2D5DCB9F" w14:textId="77777777" w:rsidTr="001D326F">
        <w:trPr>
          <w:cantSplit/>
          <w:trHeight w:val="1134"/>
        </w:trPr>
        <w:tc>
          <w:tcPr>
            <w:tcW w:w="1542" w:type="dxa"/>
            <w:textDirection w:val="btLr"/>
          </w:tcPr>
          <w:p w14:paraId="58DE1E68" w14:textId="280A8D7A" w:rsidR="004B7E72" w:rsidRPr="001D5A96" w:rsidRDefault="00677860" w:rsidP="001D5A96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1D5A96">
              <w:rPr>
                <w:b/>
                <w:bCs/>
                <w:sz w:val="32"/>
                <w:szCs w:val="32"/>
              </w:rPr>
              <w:t>Ageing in Place</w:t>
            </w:r>
          </w:p>
        </w:tc>
        <w:tc>
          <w:tcPr>
            <w:tcW w:w="3034" w:type="dxa"/>
          </w:tcPr>
          <w:p w14:paraId="5C41594A" w14:textId="0E6B5E7F" w:rsidR="004B7E72" w:rsidRPr="00523171" w:rsidRDefault="004B7E72" w:rsidP="008D6E41">
            <w:pPr>
              <w:rPr>
                <w:sz w:val="24"/>
                <w:szCs w:val="24"/>
              </w:rPr>
            </w:pPr>
            <w:r w:rsidRPr="00523171">
              <w:rPr>
                <w:sz w:val="24"/>
                <w:szCs w:val="24"/>
              </w:rPr>
              <w:t xml:space="preserve">Care at home contract </w:t>
            </w:r>
            <w:r>
              <w:rPr>
                <w:sz w:val="24"/>
                <w:szCs w:val="24"/>
              </w:rPr>
              <w:t>–</w:t>
            </w:r>
            <w:r w:rsidR="00BF2CF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re-tender</w:t>
            </w:r>
          </w:p>
        </w:tc>
        <w:tc>
          <w:tcPr>
            <w:tcW w:w="2777" w:type="dxa"/>
          </w:tcPr>
          <w:p w14:paraId="520B6019" w14:textId="15885BC8" w:rsidR="004B7E72" w:rsidRPr="00523171" w:rsidRDefault="004B7E72" w:rsidP="00A14662">
            <w:pPr>
              <w:rPr>
                <w:sz w:val="24"/>
                <w:szCs w:val="24"/>
              </w:rPr>
            </w:pPr>
            <w:r w:rsidRPr="00523171">
              <w:rPr>
                <w:sz w:val="24"/>
                <w:szCs w:val="24"/>
              </w:rPr>
              <w:t>Need for the network's voice and experience to help sha</w:t>
            </w:r>
            <w:r w:rsidR="00D3642D">
              <w:rPr>
                <w:sz w:val="24"/>
                <w:szCs w:val="24"/>
              </w:rPr>
              <w:t>p</w:t>
            </w:r>
            <w:r w:rsidRPr="00523171">
              <w:rPr>
                <w:sz w:val="24"/>
                <w:szCs w:val="24"/>
              </w:rPr>
              <w:t xml:space="preserve">e the commission </w:t>
            </w:r>
          </w:p>
        </w:tc>
        <w:tc>
          <w:tcPr>
            <w:tcW w:w="1402" w:type="dxa"/>
          </w:tcPr>
          <w:p w14:paraId="19726E5C" w14:textId="62366FA4" w:rsidR="004B7E72" w:rsidRPr="00523171" w:rsidRDefault="004B7E72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BC</w:t>
            </w:r>
          </w:p>
        </w:tc>
        <w:tc>
          <w:tcPr>
            <w:tcW w:w="2155" w:type="dxa"/>
          </w:tcPr>
          <w:p w14:paraId="560079A4" w14:textId="2365C899" w:rsidR="004B7E72" w:rsidRPr="00523171" w:rsidRDefault="0007381D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BD72A8">
              <w:rPr>
                <w:sz w:val="24"/>
                <w:szCs w:val="24"/>
              </w:rPr>
              <w:t xml:space="preserve"> 25</w:t>
            </w:r>
            <w:r w:rsidR="004B7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B476796" w14:textId="4ED60579" w:rsidR="004B7E72" w:rsidRPr="00523171" w:rsidRDefault="00BD72A8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Mawdsley is part of the co-design process for the tender</w:t>
            </w:r>
            <w:r w:rsidR="00BF2CF7">
              <w:rPr>
                <w:sz w:val="24"/>
                <w:szCs w:val="24"/>
              </w:rPr>
              <w:t xml:space="preserve"> specification.</w:t>
            </w:r>
          </w:p>
        </w:tc>
      </w:tr>
      <w:tr w:rsidR="00185944" w:rsidRPr="00D80E48" w14:paraId="59E1B253" w14:textId="77777777" w:rsidTr="001D326F">
        <w:tc>
          <w:tcPr>
            <w:tcW w:w="1542" w:type="dxa"/>
            <w:vMerge w:val="restart"/>
            <w:textDirection w:val="btLr"/>
            <w:vAlign w:val="center"/>
          </w:tcPr>
          <w:p w14:paraId="2300F8EB" w14:textId="3CB3B034" w:rsidR="00185944" w:rsidRPr="00185944" w:rsidRDefault="004E2BE4" w:rsidP="00185944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4E2BE4">
              <w:rPr>
                <w:b/>
                <w:bCs/>
                <w:sz w:val="32"/>
                <w:szCs w:val="32"/>
              </w:rPr>
              <w:t>Age-Friendly</w:t>
            </w:r>
            <w:r w:rsidR="00185944" w:rsidRPr="004E2BE4">
              <w:rPr>
                <w:b/>
                <w:bCs/>
                <w:sz w:val="32"/>
                <w:szCs w:val="32"/>
              </w:rPr>
              <w:t xml:space="preserve"> Places</w:t>
            </w:r>
          </w:p>
        </w:tc>
        <w:tc>
          <w:tcPr>
            <w:tcW w:w="3034" w:type="dxa"/>
          </w:tcPr>
          <w:p w14:paraId="1FAAFE03" w14:textId="5D378121" w:rsidR="00185944" w:rsidRPr="00C11E0B" w:rsidRDefault="00185944" w:rsidP="008D6E41">
            <w:pPr>
              <w:rPr>
                <w:sz w:val="24"/>
                <w:szCs w:val="24"/>
              </w:rPr>
            </w:pPr>
            <w:r w:rsidRPr="00C11E0B">
              <w:rPr>
                <w:sz w:val="24"/>
                <w:szCs w:val="24"/>
              </w:rPr>
              <w:t xml:space="preserve">Bury </w:t>
            </w:r>
            <w:r w:rsidR="00BD72A8">
              <w:rPr>
                <w:sz w:val="24"/>
                <w:szCs w:val="24"/>
              </w:rPr>
              <w:t>Aging in Place Pathfinder Project -</w:t>
            </w:r>
            <w:r>
              <w:rPr>
                <w:sz w:val="24"/>
                <w:szCs w:val="24"/>
              </w:rPr>
              <w:t xml:space="preserve"> Support and </w:t>
            </w:r>
            <w:r w:rsidR="00BD72A8">
              <w:rPr>
                <w:sz w:val="24"/>
                <w:szCs w:val="24"/>
              </w:rPr>
              <w:t>Expand</w:t>
            </w:r>
          </w:p>
        </w:tc>
        <w:tc>
          <w:tcPr>
            <w:tcW w:w="2777" w:type="dxa"/>
          </w:tcPr>
          <w:p w14:paraId="7AA76A90" w14:textId="77777777" w:rsidR="00185944" w:rsidRDefault="00BD72A8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support the continued work and expansion of the Bury Aging in Place Pathfinder Project currently in Moorside</w:t>
            </w:r>
            <w:r w:rsidR="00185944" w:rsidRPr="00DD4BFA">
              <w:rPr>
                <w:sz w:val="24"/>
                <w:szCs w:val="24"/>
              </w:rPr>
              <w:t xml:space="preserve"> </w:t>
            </w:r>
          </w:p>
          <w:p w14:paraId="6F2B77F0" w14:textId="77777777" w:rsidR="001D326F" w:rsidRDefault="001D326F" w:rsidP="008D6E41">
            <w:pPr>
              <w:rPr>
                <w:sz w:val="24"/>
                <w:szCs w:val="24"/>
              </w:rPr>
            </w:pPr>
          </w:p>
          <w:p w14:paraId="659165DB" w14:textId="77777777" w:rsidR="001D326F" w:rsidRDefault="001D326F" w:rsidP="008D6E41">
            <w:pPr>
              <w:rPr>
                <w:sz w:val="24"/>
                <w:szCs w:val="24"/>
              </w:rPr>
            </w:pPr>
          </w:p>
          <w:p w14:paraId="7DDF8896" w14:textId="4BC5679B" w:rsidR="001D326F" w:rsidRPr="00DD4BFA" w:rsidRDefault="001D326F" w:rsidP="008D6E41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0387D7FC" w14:textId="452B0AB7" w:rsidR="00185944" w:rsidRPr="00DD4BFA" w:rsidRDefault="00185944" w:rsidP="008D6E41">
            <w:pPr>
              <w:rPr>
                <w:sz w:val="24"/>
                <w:szCs w:val="24"/>
              </w:rPr>
            </w:pPr>
            <w:r w:rsidRPr="00DD4BFA">
              <w:rPr>
                <w:sz w:val="24"/>
                <w:szCs w:val="24"/>
              </w:rPr>
              <w:t>Persona</w:t>
            </w:r>
            <w:r w:rsidR="00577AA9">
              <w:rPr>
                <w:sz w:val="24"/>
                <w:szCs w:val="24"/>
              </w:rPr>
              <w:t xml:space="preserve"> / </w:t>
            </w:r>
            <w:r w:rsidR="003A141E">
              <w:rPr>
                <w:sz w:val="24"/>
                <w:szCs w:val="24"/>
              </w:rPr>
              <w:t xml:space="preserve">BC/ </w:t>
            </w:r>
            <w:r w:rsidR="00577AA9">
              <w:rPr>
                <w:sz w:val="24"/>
                <w:szCs w:val="24"/>
              </w:rPr>
              <w:t>BOPN</w:t>
            </w:r>
          </w:p>
        </w:tc>
        <w:tc>
          <w:tcPr>
            <w:tcW w:w="2155" w:type="dxa"/>
          </w:tcPr>
          <w:p w14:paraId="0D758AD5" w14:textId="1D96B06E" w:rsidR="00185944" w:rsidRPr="00DD4BFA" w:rsidRDefault="00BD72A8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6A04EC14" w14:textId="167AE7B8" w:rsidR="00954947" w:rsidRPr="00DD4BFA" w:rsidRDefault="00185944" w:rsidP="008D6E41">
            <w:pPr>
              <w:rPr>
                <w:sz w:val="24"/>
                <w:szCs w:val="24"/>
              </w:rPr>
            </w:pPr>
            <w:r w:rsidRPr="00DD4BFA">
              <w:rPr>
                <w:sz w:val="24"/>
                <w:szCs w:val="24"/>
              </w:rPr>
              <w:t>Joann</w:t>
            </w:r>
            <w:r w:rsidR="003A141E">
              <w:rPr>
                <w:sz w:val="24"/>
                <w:szCs w:val="24"/>
              </w:rPr>
              <w:t>a</w:t>
            </w:r>
            <w:r w:rsidRPr="00DD4BFA">
              <w:rPr>
                <w:sz w:val="24"/>
                <w:szCs w:val="24"/>
              </w:rPr>
              <w:t xml:space="preserve"> Mawdsley </w:t>
            </w:r>
            <w:r w:rsidR="00455A58">
              <w:rPr>
                <w:sz w:val="24"/>
                <w:szCs w:val="24"/>
              </w:rPr>
              <w:t xml:space="preserve">is </w:t>
            </w:r>
            <w:r w:rsidRPr="00DD4BFA">
              <w:rPr>
                <w:sz w:val="24"/>
                <w:szCs w:val="24"/>
              </w:rPr>
              <w:t>on the project board</w:t>
            </w:r>
            <w:r w:rsidR="003A14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Ste</w:t>
            </w:r>
            <w:r w:rsidR="0026060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en</w:t>
            </w:r>
            <w:r w:rsidR="00577AA9">
              <w:rPr>
                <w:sz w:val="24"/>
                <w:szCs w:val="24"/>
              </w:rPr>
              <w:t xml:space="preserve"> Greason</w:t>
            </w:r>
            <w:r w:rsidR="0026060A">
              <w:rPr>
                <w:sz w:val="24"/>
                <w:szCs w:val="24"/>
              </w:rPr>
              <w:t xml:space="preserve"> (AIP Project Manager)</w:t>
            </w:r>
            <w:r>
              <w:rPr>
                <w:sz w:val="24"/>
                <w:szCs w:val="24"/>
              </w:rPr>
              <w:t xml:space="preserve"> </w:t>
            </w:r>
            <w:r w:rsidR="00455A58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invited to the BOPN</w:t>
            </w:r>
          </w:p>
        </w:tc>
      </w:tr>
      <w:tr w:rsidR="00A12FD8" w:rsidRPr="005A1605" w14:paraId="389E7F67" w14:textId="77777777" w:rsidTr="001D326F">
        <w:tc>
          <w:tcPr>
            <w:tcW w:w="1542" w:type="dxa"/>
            <w:vMerge/>
            <w:textDirection w:val="btLr"/>
            <w:vAlign w:val="center"/>
          </w:tcPr>
          <w:p w14:paraId="791D585F" w14:textId="77777777" w:rsidR="00A12FD8" w:rsidRPr="004E2BE4" w:rsidRDefault="00A12FD8" w:rsidP="00185944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34" w:type="dxa"/>
          </w:tcPr>
          <w:p w14:paraId="75D4334A" w14:textId="71C6762A" w:rsidR="00A12FD8" w:rsidRPr="005A1605" w:rsidRDefault="00A12FD8" w:rsidP="008D6E41">
            <w:pPr>
              <w:rPr>
                <w:color w:val="FF0000"/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>Practical support to ensure older people can be “out and about”</w:t>
            </w:r>
          </w:p>
        </w:tc>
        <w:tc>
          <w:tcPr>
            <w:tcW w:w="2777" w:type="dxa"/>
          </w:tcPr>
          <w:p w14:paraId="68C0849B" w14:textId="75F5AA83" w:rsidR="00A12FD8" w:rsidRPr="005A1605" w:rsidRDefault="00A12FD8" w:rsidP="008D6E41">
            <w:pPr>
              <w:rPr>
                <w:color w:val="FF0000"/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 xml:space="preserve">Support the expansion and quality assurance of the “take a seat” initiative </w:t>
            </w:r>
            <w:r w:rsidR="0044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3CAC2FB6" w14:textId="38AABC0C" w:rsidR="00A12FD8" w:rsidRPr="005A1605" w:rsidRDefault="00A12FD8" w:rsidP="008D6E41">
            <w:pPr>
              <w:rPr>
                <w:color w:val="FF0000"/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>BOPN / BC Public Health</w:t>
            </w:r>
          </w:p>
        </w:tc>
        <w:tc>
          <w:tcPr>
            <w:tcW w:w="2155" w:type="dxa"/>
          </w:tcPr>
          <w:p w14:paraId="34AF2732" w14:textId="070DD663" w:rsidR="00A12FD8" w:rsidRPr="005A1605" w:rsidRDefault="00006467" w:rsidP="008D6E41">
            <w:pPr>
              <w:rPr>
                <w:color w:val="FF0000"/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>By Winter 2025</w:t>
            </w:r>
          </w:p>
        </w:tc>
        <w:tc>
          <w:tcPr>
            <w:tcW w:w="3969" w:type="dxa"/>
          </w:tcPr>
          <w:p w14:paraId="2E2D63A4" w14:textId="0A1989BB" w:rsidR="00A12FD8" w:rsidRPr="00006467" w:rsidRDefault="00A12FD8" w:rsidP="008D6E41">
            <w:pPr>
              <w:rPr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 xml:space="preserve">Communication and promotion / </w:t>
            </w:r>
            <w:r w:rsidR="00BE3F0C">
              <w:rPr>
                <w:sz w:val="24"/>
                <w:szCs w:val="24"/>
              </w:rPr>
              <w:t xml:space="preserve">to develop a </w:t>
            </w:r>
            <w:r w:rsidRPr="00006467">
              <w:rPr>
                <w:sz w:val="24"/>
                <w:szCs w:val="24"/>
              </w:rPr>
              <w:t>mystery shopping</w:t>
            </w:r>
            <w:r w:rsidR="00BE3F0C">
              <w:rPr>
                <w:sz w:val="24"/>
                <w:szCs w:val="24"/>
              </w:rPr>
              <w:t xml:space="preserve"> audit of</w:t>
            </w:r>
            <w:r w:rsidRPr="00006467">
              <w:rPr>
                <w:sz w:val="24"/>
                <w:szCs w:val="24"/>
              </w:rPr>
              <w:t xml:space="preserve"> current provider to see if they </w:t>
            </w:r>
            <w:proofErr w:type="gramStart"/>
            <w:r w:rsidRPr="00006467">
              <w:rPr>
                <w:sz w:val="24"/>
                <w:szCs w:val="24"/>
              </w:rPr>
              <w:t>actually offer</w:t>
            </w:r>
            <w:proofErr w:type="gramEnd"/>
            <w:r w:rsidRPr="00006467">
              <w:rPr>
                <w:sz w:val="24"/>
                <w:szCs w:val="24"/>
              </w:rPr>
              <w:t xml:space="preserve"> a positive experience.</w:t>
            </w:r>
          </w:p>
          <w:p w14:paraId="3980333A" w14:textId="77777777" w:rsidR="00006467" w:rsidRPr="00006467" w:rsidRDefault="00006467" w:rsidP="008D6E41">
            <w:pPr>
              <w:rPr>
                <w:sz w:val="24"/>
                <w:szCs w:val="24"/>
              </w:rPr>
            </w:pPr>
          </w:p>
          <w:p w14:paraId="79ABED65" w14:textId="6D415BAB" w:rsidR="00006467" w:rsidRDefault="00006467" w:rsidP="008D6E41">
            <w:pPr>
              <w:rPr>
                <w:sz w:val="24"/>
                <w:szCs w:val="24"/>
              </w:rPr>
            </w:pPr>
            <w:r w:rsidRPr="00006467">
              <w:rPr>
                <w:sz w:val="24"/>
                <w:szCs w:val="24"/>
              </w:rPr>
              <w:t>Support Bury Council and public health partners to ensure effective benches in public spaces to support older people.</w:t>
            </w:r>
          </w:p>
          <w:p w14:paraId="3DDBCC04" w14:textId="77777777" w:rsidR="0044332D" w:rsidRDefault="0044332D" w:rsidP="008D6E41">
            <w:pPr>
              <w:rPr>
                <w:sz w:val="24"/>
                <w:szCs w:val="24"/>
              </w:rPr>
            </w:pPr>
          </w:p>
          <w:p w14:paraId="7EEC82F0" w14:textId="77777777" w:rsidR="0044332D" w:rsidRPr="0044332D" w:rsidRDefault="0044332D" w:rsidP="0044332D">
            <w:pPr>
              <w:rPr>
                <w:sz w:val="24"/>
                <w:szCs w:val="24"/>
              </w:rPr>
            </w:pPr>
            <w:r w:rsidRPr="0044332D">
              <w:rPr>
                <w:sz w:val="24"/>
                <w:szCs w:val="24"/>
              </w:rPr>
              <w:t>Increase awareness of RADAR keys and how to access them</w:t>
            </w:r>
          </w:p>
          <w:p w14:paraId="34F3B989" w14:textId="77777777" w:rsidR="00A12FD8" w:rsidRDefault="00A12FD8" w:rsidP="00006467">
            <w:pPr>
              <w:rPr>
                <w:color w:val="FF0000"/>
                <w:sz w:val="24"/>
                <w:szCs w:val="24"/>
              </w:rPr>
            </w:pPr>
          </w:p>
          <w:p w14:paraId="74C9AE46" w14:textId="77777777" w:rsidR="001D326F" w:rsidRDefault="001D326F" w:rsidP="00006467">
            <w:pPr>
              <w:rPr>
                <w:color w:val="FF0000"/>
                <w:sz w:val="24"/>
                <w:szCs w:val="24"/>
              </w:rPr>
            </w:pPr>
          </w:p>
          <w:p w14:paraId="2813A28C" w14:textId="77777777" w:rsidR="001D326F" w:rsidRDefault="001D326F" w:rsidP="00006467">
            <w:pPr>
              <w:rPr>
                <w:color w:val="FF0000"/>
                <w:sz w:val="24"/>
                <w:szCs w:val="24"/>
              </w:rPr>
            </w:pPr>
          </w:p>
          <w:p w14:paraId="3E7F66FB" w14:textId="750F53AD" w:rsidR="001D326F" w:rsidRPr="005A1605" w:rsidRDefault="001D326F" w:rsidP="00006467">
            <w:pPr>
              <w:rPr>
                <w:color w:val="FF0000"/>
                <w:sz w:val="24"/>
                <w:szCs w:val="24"/>
              </w:rPr>
            </w:pPr>
          </w:p>
        </w:tc>
      </w:tr>
      <w:tr w:rsidR="00185944" w:rsidRPr="00D80E48" w14:paraId="59EF13F2" w14:textId="77777777" w:rsidTr="001D326F">
        <w:tc>
          <w:tcPr>
            <w:tcW w:w="1542" w:type="dxa"/>
            <w:vMerge/>
          </w:tcPr>
          <w:p w14:paraId="7B6B316E" w14:textId="77777777" w:rsidR="00185944" w:rsidRDefault="00185944" w:rsidP="008D6E41">
            <w:pPr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05DA5A83" w14:textId="6C9B6BCF" w:rsidR="00185944" w:rsidRPr="00D80E48" w:rsidRDefault="00185944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</w:t>
            </w:r>
            <w:r w:rsidR="004433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6060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ccessible and </w:t>
            </w:r>
            <w:r w:rsidR="0026060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ffordable </w:t>
            </w:r>
            <w:r w:rsidR="0026060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ransport</w:t>
            </w:r>
            <w:r w:rsidR="002239B8">
              <w:rPr>
                <w:sz w:val="24"/>
                <w:szCs w:val="24"/>
              </w:rPr>
              <w:t xml:space="preserve"> options</w:t>
            </w:r>
          </w:p>
        </w:tc>
        <w:tc>
          <w:tcPr>
            <w:tcW w:w="2777" w:type="dxa"/>
          </w:tcPr>
          <w:p w14:paraId="24CF1527" w14:textId="2A3FCBEF" w:rsidR="00185944" w:rsidRPr="00D80E48" w:rsidRDefault="00185944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the voice of older people is reflected as </w:t>
            </w:r>
            <w:r w:rsidR="000C0E37">
              <w:rPr>
                <w:sz w:val="24"/>
                <w:szCs w:val="24"/>
              </w:rPr>
              <w:t>the Bee Network and GM Transport Strategy is delivered across the borough.</w:t>
            </w:r>
          </w:p>
        </w:tc>
        <w:tc>
          <w:tcPr>
            <w:tcW w:w="1402" w:type="dxa"/>
          </w:tcPr>
          <w:p w14:paraId="376B5089" w14:textId="5CE0163C" w:rsidR="00185944" w:rsidRPr="00D80E48" w:rsidRDefault="00577AA9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BOPN </w:t>
            </w:r>
            <w:r w:rsidR="00185944">
              <w:rPr>
                <w:sz w:val="24"/>
                <w:szCs w:val="24"/>
              </w:rPr>
              <w:t>/ B</w:t>
            </w:r>
            <w:r>
              <w:rPr>
                <w:sz w:val="24"/>
                <w:szCs w:val="24"/>
              </w:rPr>
              <w:t>C</w:t>
            </w:r>
            <w:r w:rsidR="0026060A">
              <w:rPr>
                <w:sz w:val="24"/>
                <w:szCs w:val="24"/>
              </w:rPr>
              <w:t xml:space="preserve">/ TfGM </w:t>
            </w:r>
          </w:p>
        </w:tc>
        <w:tc>
          <w:tcPr>
            <w:tcW w:w="2155" w:type="dxa"/>
          </w:tcPr>
          <w:p w14:paraId="2AFD69AB" w14:textId="59459132" w:rsidR="00185944" w:rsidRPr="00D80E48" w:rsidRDefault="000C0E37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576BC860" w14:textId="273BE420" w:rsidR="0044332D" w:rsidRDefault="000C0E37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Engagement with TfGM has been </w:t>
            </w:r>
            <w:r w:rsidR="0044332D">
              <w:rPr>
                <w:sz w:val="24"/>
                <w:szCs w:val="24"/>
              </w:rPr>
              <w:t>mixed and exploring further connection alongside the</w:t>
            </w:r>
            <w:r>
              <w:rPr>
                <w:sz w:val="24"/>
                <w:szCs w:val="24"/>
              </w:rPr>
              <w:t xml:space="preserve"> GM Older Persons Network.</w:t>
            </w:r>
          </w:p>
          <w:p w14:paraId="0B0DEF6F" w14:textId="3FAB6948" w:rsidR="00E67D39" w:rsidRDefault="006D605F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conversations around “Ring and Ride” services are included in the conversation,</w:t>
            </w:r>
          </w:p>
          <w:p w14:paraId="169057C1" w14:textId="77777777" w:rsidR="000C0E37" w:rsidRDefault="000C0E37" w:rsidP="008D6E41">
            <w:pPr>
              <w:rPr>
                <w:sz w:val="24"/>
                <w:szCs w:val="24"/>
              </w:rPr>
            </w:pPr>
          </w:p>
          <w:p w14:paraId="211799C3" w14:textId="137BFAF2" w:rsidR="000C0E37" w:rsidRDefault="000C0E37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closer links to Bury disabled people organisations to ensure unified voice as issues often overlap</w:t>
            </w:r>
            <w:r w:rsidR="006D605F">
              <w:rPr>
                <w:sz w:val="24"/>
                <w:szCs w:val="24"/>
              </w:rPr>
              <w:t>.</w:t>
            </w:r>
          </w:p>
          <w:p w14:paraId="56CB8D0D" w14:textId="2A2F8780" w:rsidR="000C0E37" w:rsidRPr="00D80E48" w:rsidRDefault="000C0E37" w:rsidP="008D6E41">
            <w:pPr>
              <w:rPr>
                <w:sz w:val="24"/>
                <w:szCs w:val="24"/>
              </w:rPr>
            </w:pPr>
          </w:p>
        </w:tc>
      </w:tr>
      <w:tr w:rsidR="0037544C" w:rsidRPr="00D80E48" w14:paraId="5E77C33A" w14:textId="77777777" w:rsidTr="001D326F">
        <w:trPr>
          <w:trHeight w:val="1134"/>
        </w:trPr>
        <w:tc>
          <w:tcPr>
            <w:tcW w:w="1542" w:type="dxa"/>
            <w:vMerge w:val="restart"/>
            <w:textDirection w:val="btLr"/>
          </w:tcPr>
          <w:p w14:paraId="07B2D733" w14:textId="27FA72A7" w:rsidR="0037544C" w:rsidRPr="001D5A96" w:rsidRDefault="0037544C" w:rsidP="0096477A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Community Safety</w:t>
            </w:r>
          </w:p>
        </w:tc>
        <w:tc>
          <w:tcPr>
            <w:tcW w:w="3034" w:type="dxa"/>
          </w:tcPr>
          <w:p w14:paraId="72F66D3B" w14:textId="32AD0927" w:rsidR="0037544C" w:rsidRPr="00523171" w:rsidRDefault="0037544C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Ensuring older people feel safe in their homes and in their community (including public transport)</w:t>
            </w:r>
          </w:p>
        </w:tc>
        <w:tc>
          <w:tcPr>
            <w:tcW w:w="2777" w:type="dxa"/>
          </w:tcPr>
          <w:p w14:paraId="72C968FE" w14:textId="29F0B60C" w:rsidR="0037544C" w:rsidRPr="00523171" w:rsidRDefault="0037544C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with the Bury Community Safety Strategy refresh and delivery.</w:t>
            </w:r>
          </w:p>
        </w:tc>
        <w:tc>
          <w:tcPr>
            <w:tcW w:w="1402" w:type="dxa"/>
          </w:tcPr>
          <w:p w14:paraId="33CDBC27" w14:textId="46DEFDC6" w:rsidR="0037544C" w:rsidRDefault="0044332D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BC / GMP / Partners</w:t>
            </w:r>
          </w:p>
        </w:tc>
        <w:tc>
          <w:tcPr>
            <w:tcW w:w="2155" w:type="dxa"/>
          </w:tcPr>
          <w:p w14:paraId="76B802F3" w14:textId="3F8A18C0" w:rsidR="0037544C" w:rsidRDefault="0044332D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0C561BDE" w14:textId="3087AB92" w:rsidR="0037544C" w:rsidRDefault="0037544C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Joanna Mawdsley part of Community Safety </w:t>
            </w:r>
            <w:r w:rsidR="0044332D">
              <w:rPr>
                <w:sz w:val="24"/>
                <w:szCs w:val="24"/>
              </w:rPr>
              <w:t>Cohesion</w:t>
            </w:r>
            <w:r>
              <w:rPr>
                <w:sz w:val="24"/>
                <w:szCs w:val="24"/>
              </w:rPr>
              <w:t xml:space="preserve"> Group </w:t>
            </w:r>
          </w:p>
        </w:tc>
      </w:tr>
      <w:tr w:rsidR="0037544C" w:rsidRPr="00D80E48" w14:paraId="3EBCD4BA" w14:textId="77777777" w:rsidTr="001D326F">
        <w:trPr>
          <w:trHeight w:val="1134"/>
        </w:trPr>
        <w:tc>
          <w:tcPr>
            <w:tcW w:w="1542" w:type="dxa"/>
            <w:vMerge/>
            <w:textDirection w:val="btLr"/>
          </w:tcPr>
          <w:p w14:paraId="706F34E5" w14:textId="77777777" w:rsidR="0037544C" w:rsidRDefault="0037544C" w:rsidP="0096477A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34" w:type="dxa"/>
          </w:tcPr>
          <w:p w14:paraId="754D25A8" w14:textId="77777777" w:rsidR="0037544C" w:rsidRDefault="0037544C" w:rsidP="0096477A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2BAA9099" w14:textId="0068269E" w:rsidR="0037544C" w:rsidRDefault="0037544C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engagement with GMP with the network to raise awareness or concerns but also how residents can get engage</w:t>
            </w:r>
          </w:p>
        </w:tc>
        <w:tc>
          <w:tcPr>
            <w:tcW w:w="1402" w:type="dxa"/>
          </w:tcPr>
          <w:p w14:paraId="497A0D15" w14:textId="047A1B1C" w:rsidR="0037544C" w:rsidRDefault="0044332D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BC / GMP / Partners</w:t>
            </w:r>
          </w:p>
        </w:tc>
        <w:tc>
          <w:tcPr>
            <w:tcW w:w="2155" w:type="dxa"/>
          </w:tcPr>
          <w:p w14:paraId="6A54ADC0" w14:textId="25AE5ACB" w:rsidR="0037544C" w:rsidRDefault="0007381D" w:rsidP="0096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44332D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69" w:type="dxa"/>
          </w:tcPr>
          <w:p w14:paraId="4D9A97C2" w14:textId="57D0BC11" w:rsidR="0037544C" w:rsidRDefault="0007381D" w:rsidP="0096477A">
            <w:pPr>
              <w:rPr>
                <w:sz w:val="24"/>
                <w:szCs w:val="24"/>
              </w:rPr>
            </w:pPr>
            <w:r w:rsidRPr="0007381D">
              <w:rPr>
                <w:sz w:val="24"/>
                <w:szCs w:val="24"/>
              </w:rPr>
              <w:t>GMP to be invited to</w:t>
            </w:r>
            <w:r w:rsidR="0037544C" w:rsidRPr="00073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March meeting</w:t>
            </w:r>
            <w:r w:rsidR="0037544C" w:rsidRPr="0007381D">
              <w:rPr>
                <w:sz w:val="24"/>
                <w:szCs w:val="24"/>
              </w:rPr>
              <w:t xml:space="preserve"> but also has connection to neighbourhood PACT awareness / Bee in the </w:t>
            </w:r>
            <w:r w:rsidR="0037544C">
              <w:rPr>
                <w:sz w:val="24"/>
                <w:szCs w:val="24"/>
              </w:rPr>
              <w:t>Loop etc</w:t>
            </w:r>
          </w:p>
        </w:tc>
      </w:tr>
    </w:tbl>
    <w:p w14:paraId="0B97708C" w14:textId="77777777" w:rsidR="00A12FD8" w:rsidRDefault="00A12FD8"/>
    <w:p w14:paraId="642531EA" w14:textId="77777777" w:rsidR="001D326F" w:rsidRDefault="001D326F"/>
    <w:p w14:paraId="3DF6CE67" w14:textId="77777777" w:rsidR="001D326F" w:rsidRDefault="001D326F"/>
    <w:p w14:paraId="32ACF6B5" w14:textId="77777777" w:rsidR="001D326F" w:rsidRDefault="001D326F"/>
    <w:p w14:paraId="6E26C716" w14:textId="77777777" w:rsidR="001D326F" w:rsidRDefault="001D326F"/>
    <w:p w14:paraId="6DEDB5A4" w14:textId="77777777" w:rsidR="001D326F" w:rsidRDefault="001D3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3543"/>
        <w:gridCol w:w="2607"/>
        <w:gridCol w:w="1397"/>
        <w:gridCol w:w="1894"/>
        <w:gridCol w:w="3969"/>
      </w:tblGrid>
      <w:tr w:rsidR="00E36AFA" w:rsidRPr="00C620F7" w14:paraId="797E2425" w14:textId="77777777" w:rsidTr="001D326F">
        <w:tc>
          <w:tcPr>
            <w:tcW w:w="14879" w:type="dxa"/>
            <w:gridSpan w:val="6"/>
            <w:shd w:val="clear" w:color="auto" w:fill="C45911" w:themeFill="accent2" w:themeFillShade="BF"/>
          </w:tcPr>
          <w:p w14:paraId="6E1C47AE" w14:textId="1FFA4D0B" w:rsidR="00E36AFA" w:rsidRPr="00385AD5" w:rsidRDefault="00E36AFA" w:rsidP="00385AD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Work and </w:t>
            </w:r>
            <w:proofErr w:type="gramStart"/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t>Money  –</w:t>
            </w:r>
            <w:proofErr w:type="gramEnd"/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t xml:space="preserve"> Ensuring Older People can remain financially independent (This may be improved employment, increased awareness of benefit entitlements, financial security in retirement or ensuring access to digital technology etc)</w:t>
            </w:r>
          </w:p>
          <w:p w14:paraId="4A60AA9D" w14:textId="53292FD1" w:rsidR="00E36AFA" w:rsidRPr="00C620F7" w:rsidRDefault="00E36AFA" w:rsidP="008D6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96970" w:rsidRPr="00D80E48" w14:paraId="5A285A51" w14:textId="77777777" w:rsidTr="001D326F">
        <w:tc>
          <w:tcPr>
            <w:tcW w:w="1469" w:type="dxa"/>
          </w:tcPr>
          <w:p w14:paraId="3AEB6111" w14:textId="7777777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3D9AD8" w14:textId="14206C6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Area of Work</w:t>
            </w:r>
          </w:p>
        </w:tc>
        <w:tc>
          <w:tcPr>
            <w:tcW w:w="2607" w:type="dxa"/>
          </w:tcPr>
          <w:p w14:paraId="116A56F8" w14:textId="7777777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1397" w:type="dxa"/>
          </w:tcPr>
          <w:p w14:paraId="37971D5E" w14:textId="7777777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894" w:type="dxa"/>
          </w:tcPr>
          <w:p w14:paraId="3B4E7E9C" w14:textId="7777777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969" w:type="dxa"/>
          </w:tcPr>
          <w:p w14:paraId="4D5BE9E2" w14:textId="77777777" w:rsidR="00E36AFA" w:rsidRPr="00D80E48" w:rsidRDefault="00E36AFA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Progress so far</w:t>
            </w:r>
          </w:p>
        </w:tc>
      </w:tr>
      <w:tr w:rsidR="002D1AB5" w:rsidRPr="00C40196" w14:paraId="6BAAEF45" w14:textId="77777777" w:rsidTr="001D326F">
        <w:tc>
          <w:tcPr>
            <w:tcW w:w="1469" w:type="dxa"/>
            <w:vMerge w:val="restart"/>
            <w:textDirection w:val="btLr"/>
            <w:vAlign w:val="center"/>
          </w:tcPr>
          <w:p w14:paraId="0DA4096A" w14:textId="45ABEBF5" w:rsidR="002D1AB5" w:rsidRPr="00EF338A" w:rsidRDefault="002D1AB5" w:rsidP="00EF338A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EF338A">
              <w:rPr>
                <w:b/>
                <w:bCs/>
                <w:sz w:val="32"/>
                <w:szCs w:val="32"/>
              </w:rPr>
              <w:t>Digital Inclusion</w:t>
            </w:r>
          </w:p>
        </w:tc>
        <w:tc>
          <w:tcPr>
            <w:tcW w:w="3543" w:type="dxa"/>
            <w:vMerge w:val="restart"/>
          </w:tcPr>
          <w:p w14:paraId="6909CEFE" w14:textId="393259C7" w:rsidR="002D1AB5" w:rsidRPr="00C40196" w:rsidRDefault="002D1AB5" w:rsidP="007B62AE">
            <w:pPr>
              <w:rPr>
                <w:sz w:val="24"/>
                <w:szCs w:val="24"/>
              </w:rPr>
            </w:pPr>
            <w:r w:rsidRPr="007B62AE">
              <w:rPr>
                <w:sz w:val="24"/>
                <w:szCs w:val="24"/>
              </w:rPr>
              <w:t xml:space="preserve">Work alongside Bury Council and other organisations to ensure the offer meets the needs of Older People </w:t>
            </w:r>
          </w:p>
        </w:tc>
        <w:tc>
          <w:tcPr>
            <w:tcW w:w="2607" w:type="dxa"/>
          </w:tcPr>
          <w:p w14:paraId="3856DBE9" w14:textId="7CF1CF43" w:rsidR="002D1AB5" w:rsidRPr="00C40196" w:rsidRDefault="002D1AB5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the new digital inclusion engagement officer to ensure the development of an age-friendly offer borough-wide</w:t>
            </w:r>
          </w:p>
        </w:tc>
        <w:tc>
          <w:tcPr>
            <w:tcW w:w="1397" w:type="dxa"/>
          </w:tcPr>
          <w:p w14:paraId="773F5A39" w14:textId="61FEAD67" w:rsidR="002D1AB5" w:rsidRPr="00C40196" w:rsidRDefault="002D1AB5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BC</w:t>
            </w:r>
          </w:p>
        </w:tc>
        <w:tc>
          <w:tcPr>
            <w:tcW w:w="1894" w:type="dxa"/>
          </w:tcPr>
          <w:p w14:paraId="54754214" w14:textId="397EAE66" w:rsidR="002D1AB5" w:rsidRPr="00C40196" w:rsidRDefault="002D1AB5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969" w:type="dxa"/>
          </w:tcPr>
          <w:p w14:paraId="4616302B" w14:textId="424C1B8F" w:rsidR="002D1AB5" w:rsidRDefault="002D1AB5" w:rsidP="00C71CCF">
            <w:pPr>
              <w:rPr>
                <w:sz w:val="24"/>
                <w:szCs w:val="24"/>
              </w:rPr>
            </w:pPr>
            <w:bookmarkStart w:id="0" w:name="_Hlk170307268"/>
            <w:r>
              <w:rPr>
                <w:sz w:val="24"/>
                <w:szCs w:val="24"/>
              </w:rPr>
              <w:t>Bury Council Digital Inclusion office</w:t>
            </w:r>
            <w:r w:rsidR="0018403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has been invited to BOPN meetings </w:t>
            </w:r>
            <w:bookmarkEnd w:id="0"/>
          </w:p>
          <w:p w14:paraId="08941EBB" w14:textId="77777777" w:rsidR="002D1AB5" w:rsidRDefault="002D1AB5" w:rsidP="00C71CCF">
            <w:pPr>
              <w:rPr>
                <w:sz w:val="24"/>
                <w:szCs w:val="24"/>
              </w:rPr>
            </w:pPr>
          </w:p>
          <w:p w14:paraId="3174DF65" w14:textId="1288E435" w:rsidR="002D1AB5" w:rsidRPr="00C40196" w:rsidRDefault="002D1AB5" w:rsidP="00C71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how to raise awareness of non-digital methods of contacts for key services so that people are not excluded </w:t>
            </w:r>
          </w:p>
        </w:tc>
      </w:tr>
      <w:tr w:rsidR="002D1AB5" w:rsidRPr="00C40196" w14:paraId="24E8BA64" w14:textId="77777777" w:rsidTr="001D326F">
        <w:tc>
          <w:tcPr>
            <w:tcW w:w="1469" w:type="dxa"/>
            <w:vMerge/>
            <w:textDirection w:val="btLr"/>
            <w:vAlign w:val="center"/>
          </w:tcPr>
          <w:p w14:paraId="745DF596" w14:textId="77777777" w:rsidR="002D1AB5" w:rsidRPr="00EF338A" w:rsidRDefault="002D1AB5" w:rsidP="00EF338A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53A36331" w14:textId="77777777" w:rsidR="002D1AB5" w:rsidRPr="007B62AE" w:rsidRDefault="002D1AB5" w:rsidP="007B62AE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3E2137A0" w14:textId="0F6CF4F9" w:rsidR="002D1AB5" w:rsidRDefault="002D1AB5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older people are aware of technology can improve their lives e.g. assistive technology.</w:t>
            </w:r>
          </w:p>
        </w:tc>
        <w:tc>
          <w:tcPr>
            <w:tcW w:w="1397" w:type="dxa"/>
          </w:tcPr>
          <w:p w14:paraId="1B5FD363" w14:textId="2900C75C" w:rsidR="002D1AB5" w:rsidRDefault="002D1AB5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BC</w:t>
            </w:r>
          </w:p>
        </w:tc>
        <w:tc>
          <w:tcPr>
            <w:tcW w:w="1894" w:type="dxa"/>
          </w:tcPr>
          <w:p w14:paraId="463D43C6" w14:textId="01850D85" w:rsidR="002D1AB5" w:rsidRDefault="0007381D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work is yet to be started</w:t>
            </w:r>
          </w:p>
        </w:tc>
        <w:tc>
          <w:tcPr>
            <w:tcW w:w="3969" w:type="dxa"/>
          </w:tcPr>
          <w:p w14:paraId="6644C9C4" w14:textId="67782F8C" w:rsidR="002D1AB5" w:rsidRDefault="0007381D" w:rsidP="00C71CCF">
            <w:pPr>
              <w:rPr>
                <w:sz w:val="24"/>
                <w:szCs w:val="24"/>
              </w:rPr>
            </w:pPr>
            <w:r w:rsidRPr="0007381D">
              <w:rPr>
                <w:sz w:val="24"/>
                <w:szCs w:val="24"/>
              </w:rPr>
              <w:t>Session hosted with B</w:t>
            </w:r>
            <w:r>
              <w:rPr>
                <w:sz w:val="24"/>
                <w:szCs w:val="24"/>
              </w:rPr>
              <w:t>ury Blind Society and BC</w:t>
            </w:r>
            <w:r w:rsidRPr="0007381D">
              <w:rPr>
                <w:sz w:val="24"/>
                <w:szCs w:val="24"/>
              </w:rPr>
              <w:t xml:space="preserve"> re options available in assistive technology</w:t>
            </w:r>
            <w:r>
              <w:rPr>
                <w:sz w:val="24"/>
                <w:szCs w:val="24"/>
              </w:rPr>
              <w:t>.</w:t>
            </w:r>
          </w:p>
          <w:p w14:paraId="083B2A33" w14:textId="77777777" w:rsidR="0007381D" w:rsidRPr="0007381D" w:rsidRDefault="0007381D" w:rsidP="00C71CCF">
            <w:pPr>
              <w:rPr>
                <w:sz w:val="24"/>
                <w:szCs w:val="24"/>
              </w:rPr>
            </w:pPr>
          </w:p>
          <w:p w14:paraId="375DCF5B" w14:textId="0D2870B7" w:rsidR="002D1AB5" w:rsidRDefault="002D1AB5" w:rsidP="00C71CCF">
            <w:pPr>
              <w:rPr>
                <w:sz w:val="24"/>
                <w:szCs w:val="24"/>
              </w:rPr>
            </w:pPr>
          </w:p>
        </w:tc>
      </w:tr>
      <w:tr w:rsidR="00B92424" w:rsidRPr="00C40196" w14:paraId="63C00BDF" w14:textId="77777777" w:rsidTr="001D326F">
        <w:tc>
          <w:tcPr>
            <w:tcW w:w="1469" w:type="dxa"/>
            <w:textDirection w:val="btLr"/>
            <w:vAlign w:val="center"/>
          </w:tcPr>
          <w:p w14:paraId="740F49DA" w14:textId="70964B60" w:rsidR="00B92424" w:rsidRPr="00ED2334" w:rsidRDefault="00B92424" w:rsidP="00B92424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ED2334">
              <w:rPr>
                <w:b/>
                <w:bCs/>
                <w:sz w:val="32"/>
                <w:szCs w:val="32"/>
              </w:rPr>
              <w:t>Financial Inclusion</w:t>
            </w:r>
          </w:p>
        </w:tc>
        <w:tc>
          <w:tcPr>
            <w:tcW w:w="3543" w:type="dxa"/>
          </w:tcPr>
          <w:p w14:paraId="7082DBE3" w14:textId="77777777" w:rsidR="00B92424" w:rsidRDefault="00B92424" w:rsidP="007B62AE">
            <w:pPr>
              <w:rPr>
                <w:sz w:val="24"/>
                <w:szCs w:val="24"/>
              </w:rPr>
            </w:pPr>
            <w:r w:rsidRPr="002219B8">
              <w:rPr>
                <w:sz w:val="24"/>
                <w:szCs w:val="24"/>
              </w:rPr>
              <w:t xml:space="preserve">Raise awareness/ education of </w:t>
            </w:r>
            <w:r w:rsidR="00FD6D72">
              <w:rPr>
                <w:sz w:val="24"/>
                <w:szCs w:val="24"/>
              </w:rPr>
              <w:t xml:space="preserve">older people rights, </w:t>
            </w:r>
            <w:r w:rsidRPr="002219B8">
              <w:rPr>
                <w:sz w:val="24"/>
                <w:szCs w:val="24"/>
              </w:rPr>
              <w:t xml:space="preserve">opportunities and offers such as </w:t>
            </w:r>
            <w:r w:rsidR="00FD6D72">
              <w:rPr>
                <w:sz w:val="24"/>
                <w:szCs w:val="24"/>
              </w:rPr>
              <w:t xml:space="preserve">attendance allowance, </w:t>
            </w:r>
            <w:r w:rsidRPr="002219B8">
              <w:rPr>
                <w:sz w:val="24"/>
                <w:szCs w:val="24"/>
              </w:rPr>
              <w:t>pension credits and cost of living support</w:t>
            </w:r>
          </w:p>
          <w:p w14:paraId="0991296F" w14:textId="1A5B9392" w:rsidR="00295205" w:rsidRPr="007B62AE" w:rsidRDefault="00295205" w:rsidP="007B62AE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20EF36E8" w14:textId="5A9EEA7B" w:rsidR="004A369E" w:rsidRDefault="00775B89" w:rsidP="00775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awareness of the support available – Age UK information and Advice, CAB, Food Pantries, Other Services </w:t>
            </w:r>
          </w:p>
        </w:tc>
        <w:tc>
          <w:tcPr>
            <w:tcW w:w="1397" w:type="dxa"/>
          </w:tcPr>
          <w:p w14:paraId="141A22DF" w14:textId="1D29CBB2" w:rsidR="00B92424" w:rsidRDefault="00775B89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BOPN/ BC </w:t>
            </w:r>
            <w:r w:rsidR="0007381D">
              <w:rPr>
                <w:sz w:val="24"/>
                <w:szCs w:val="24"/>
              </w:rPr>
              <w:t>/ CAB / Age UK / Other services</w:t>
            </w:r>
          </w:p>
        </w:tc>
        <w:tc>
          <w:tcPr>
            <w:tcW w:w="1894" w:type="dxa"/>
          </w:tcPr>
          <w:p w14:paraId="49B88E84" w14:textId="34A32DB3" w:rsidR="00B92424" w:rsidRPr="00C40196" w:rsidRDefault="00FD6D72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  <w:r w:rsidR="00775B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8403F0F" w14:textId="51015878" w:rsidR="00B92424" w:rsidRPr="00C40196" w:rsidRDefault="00B92424" w:rsidP="008D6E41">
            <w:pPr>
              <w:rPr>
                <w:sz w:val="24"/>
                <w:szCs w:val="24"/>
              </w:rPr>
            </w:pPr>
          </w:p>
        </w:tc>
      </w:tr>
    </w:tbl>
    <w:p w14:paraId="3745016A" w14:textId="77777777" w:rsidR="00385AD5" w:rsidRDefault="00385AD5"/>
    <w:p w14:paraId="5F674951" w14:textId="77777777" w:rsidR="001D326F" w:rsidRDefault="001D326F"/>
    <w:p w14:paraId="49E6EEAB" w14:textId="77777777" w:rsidR="001D326F" w:rsidRDefault="001D326F"/>
    <w:p w14:paraId="41DE1C6C" w14:textId="77777777" w:rsidR="001D326F" w:rsidRDefault="001D326F"/>
    <w:p w14:paraId="5972320A" w14:textId="77777777" w:rsidR="001D326F" w:rsidRDefault="001D3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3386"/>
        <w:gridCol w:w="3208"/>
        <w:gridCol w:w="1540"/>
        <w:gridCol w:w="1795"/>
        <w:gridCol w:w="3827"/>
      </w:tblGrid>
      <w:tr w:rsidR="00E01A6E" w:rsidRPr="00D80E48" w14:paraId="4369CE84" w14:textId="77777777" w:rsidTr="001D326F">
        <w:tc>
          <w:tcPr>
            <w:tcW w:w="14737" w:type="dxa"/>
            <w:gridSpan w:val="6"/>
            <w:shd w:val="clear" w:color="auto" w:fill="FF0000"/>
          </w:tcPr>
          <w:p w14:paraId="2D92CC60" w14:textId="370DACC9" w:rsidR="00E01A6E" w:rsidRPr="00385AD5" w:rsidRDefault="00E01A6E" w:rsidP="00385AD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85AD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Ageing Well – Older People can access the help and support they need and are able to find information and activities to support their mental and physical wellbeing</w:t>
            </w:r>
          </w:p>
          <w:p w14:paraId="018416C2" w14:textId="274E7A84" w:rsidR="00E01A6E" w:rsidRPr="00BA6298" w:rsidRDefault="00E01A6E" w:rsidP="008D6E41">
            <w:pPr>
              <w:rPr>
                <w:sz w:val="28"/>
                <w:szCs w:val="28"/>
              </w:rPr>
            </w:pPr>
          </w:p>
        </w:tc>
      </w:tr>
      <w:tr w:rsidR="00455A58" w:rsidRPr="00D80E48" w14:paraId="2EAFF84F" w14:textId="77777777" w:rsidTr="001D326F">
        <w:tc>
          <w:tcPr>
            <w:tcW w:w="981" w:type="dxa"/>
          </w:tcPr>
          <w:p w14:paraId="06353A8D" w14:textId="77777777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</w:tcPr>
          <w:p w14:paraId="4D248714" w14:textId="00CAFC14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Area of Work</w:t>
            </w:r>
          </w:p>
        </w:tc>
        <w:tc>
          <w:tcPr>
            <w:tcW w:w="3208" w:type="dxa"/>
          </w:tcPr>
          <w:p w14:paraId="0D5EE981" w14:textId="77777777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1540" w:type="dxa"/>
          </w:tcPr>
          <w:p w14:paraId="0D30A82C" w14:textId="77777777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795" w:type="dxa"/>
          </w:tcPr>
          <w:p w14:paraId="1EB05D34" w14:textId="77777777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827" w:type="dxa"/>
          </w:tcPr>
          <w:p w14:paraId="6EF456B9" w14:textId="77777777" w:rsidR="00CD777D" w:rsidRPr="00D80E48" w:rsidRDefault="00CD777D" w:rsidP="008D6E41">
            <w:pPr>
              <w:rPr>
                <w:b/>
                <w:bCs/>
                <w:sz w:val="24"/>
                <w:szCs w:val="24"/>
              </w:rPr>
            </w:pPr>
            <w:r w:rsidRPr="00D80E48">
              <w:rPr>
                <w:b/>
                <w:bCs/>
                <w:sz w:val="24"/>
                <w:szCs w:val="24"/>
              </w:rPr>
              <w:t>Progress so far</w:t>
            </w:r>
          </w:p>
        </w:tc>
      </w:tr>
      <w:tr w:rsidR="00F07406" w:rsidRPr="00D80E48" w14:paraId="4FD8D0CA" w14:textId="77777777" w:rsidTr="001D326F">
        <w:tc>
          <w:tcPr>
            <w:tcW w:w="981" w:type="dxa"/>
            <w:textDirection w:val="btLr"/>
            <w:vAlign w:val="center"/>
          </w:tcPr>
          <w:p w14:paraId="32869BAF" w14:textId="74CCA3BA" w:rsidR="00F07406" w:rsidRPr="00022310" w:rsidRDefault="00022310" w:rsidP="00022310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022310">
              <w:rPr>
                <w:b/>
                <w:bCs/>
                <w:sz w:val="32"/>
                <w:szCs w:val="32"/>
              </w:rPr>
              <w:t xml:space="preserve">Primary Care </w:t>
            </w:r>
          </w:p>
        </w:tc>
        <w:tc>
          <w:tcPr>
            <w:tcW w:w="3386" w:type="dxa"/>
          </w:tcPr>
          <w:p w14:paraId="710F5AEB" w14:textId="54FF15B2" w:rsidR="00F07406" w:rsidRDefault="00F07406" w:rsidP="008D6E41">
            <w:pPr>
              <w:rPr>
                <w:sz w:val="24"/>
                <w:szCs w:val="24"/>
              </w:rPr>
            </w:pPr>
            <w:r w:rsidRPr="00082C82">
              <w:rPr>
                <w:sz w:val="24"/>
                <w:szCs w:val="24"/>
              </w:rPr>
              <w:t>Ensuring Older People can access quality Primary Care and are aware of the services available</w:t>
            </w:r>
          </w:p>
        </w:tc>
        <w:tc>
          <w:tcPr>
            <w:tcW w:w="3208" w:type="dxa"/>
          </w:tcPr>
          <w:p w14:paraId="751FDB1C" w14:textId="6E2608BE" w:rsidR="00F07406" w:rsidRDefault="00022310" w:rsidP="0002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awareness of current situation on how to access GPs and Primary Care</w:t>
            </w:r>
            <w:r w:rsidR="00B50E73">
              <w:rPr>
                <w:sz w:val="24"/>
                <w:szCs w:val="24"/>
              </w:rPr>
              <w:t xml:space="preserve"> (including pharmacy, dentistry, social prescribing, and community health services). Working in partnership with Healthwatch - building on their reports to improve access to services  </w:t>
            </w:r>
          </w:p>
        </w:tc>
        <w:tc>
          <w:tcPr>
            <w:tcW w:w="1540" w:type="dxa"/>
          </w:tcPr>
          <w:p w14:paraId="6225B72F" w14:textId="2201CB88" w:rsidR="00F07406" w:rsidRPr="00D80E48" w:rsidRDefault="00022310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/ GM NHS</w:t>
            </w:r>
            <w:r w:rsidR="00A96AC1">
              <w:rPr>
                <w:sz w:val="24"/>
                <w:szCs w:val="24"/>
              </w:rPr>
              <w:t xml:space="preserve"> / </w:t>
            </w:r>
            <w:proofErr w:type="spellStart"/>
            <w:r w:rsidR="00A96AC1">
              <w:rPr>
                <w:sz w:val="24"/>
                <w:szCs w:val="24"/>
              </w:rPr>
              <w:t>Bardoc</w:t>
            </w:r>
            <w:proofErr w:type="spellEnd"/>
            <w:r w:rsidR="00A96AC1">
              <w:rPr>
                <w:sz w:val="24"/>
                <w:szCs w:val="24"/>
              </w:rPr>
              <w:t xml:space="preserve"> / GP Federation</w:t>
            </w:r>
            <w:r w:rsidR="00B50E73">
              <w:rPr>
                <w:sz w:val="24"/>
                <w:szCs w:val="24"/>
              </w:rPr>
              <w:t xml:space="preserve"> / Healthwatch</w:t>
            </w:r>
          </w:p>
        </w:tc>
        <w:tc>
          <w:tcPr>
            <w:tcW w:w="1795" w:type="dxa"/>
          </w:tcPr>
          <w:p w14:paraId="5BF16335" w14:textId="161CC8BD" w:rsidR="00F07406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827" w:type="dxa"/>
          </w:tcPr>
          <w:p w14:paraId="589B5D6A" w14:textId="77777777" w:rsidR="00B50E73" w:rsidRDefault="00B50E73" w:rsidP="00B50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Healthwatch has presented on topics such as the NHS App</w:t>
            </w:r>
          </w:p>
          <w:p w14:paraId="5B5B99BA" w14:textId="77777777" w:rsidR="00B50E73" w:rsidRDefault="00B50E73" w:rsidP="00B50E73">
            <w:pPr>
              <w:rPr>
                <w:sz w:val="24"/>
                <w:szCs w:val="24"/>
              </w:rPr>
            </w:pPr>
          </w:p>
          <w:p w14:paraId="5677DFFD" w14:textId="642555D3" w:rsidR="0096238F" w:rsidRDefault="00B50E73" w:rsidP="00B50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 appointment booking – the variety of service/quality raised as a possible area to explore further </w:t>
            </w:r>
          </w:p>
        </w:tc>
      </w:tr>
      <w:tr w:rsidR="00B50E73" w:rsidRPr="00D80E48" w14:paraId="25DE00F4" w14:textId="77777777" w:rsidTr="001D326F">
        <w:tc>
          <w:tcPr>
            <w:tcW w:w="981" w:type="dxa"/>
            <w:vMerge w:val="restart"/>
            <w:textDirection w:val="btLr"/>
            <w:vAlign w:val="center"/>
          </w:tcPr>
          <w:p w14:paraId="7EDF01C1" w14:textId="7CE54BC0" w:rsidR="00B50E73" w:rsidRPr="00455A58" w:rsidRDefault="00B50E73" w:rsidP="00455A58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455A58">
              <w:rPr>
                <w:b/>
                <w:bCs/>
                <w:sz w:val="32"/>
                <w:szCs w:val="32"/>
              </w:rPr>
              <w:t>Self-Care</w:t>
            </w:r>
          </w:p>
        </w:tc>
        <w:tc>
          <w:tcPr>
            <w:tcW w:w="3386" w:type="dxa"/>
          </w:tcPr>
          <w:p w14:paraId="051AB7DA" w14:textId="1A17FCF3" w:rsidR="00B50E73" w:rsidRPr="00D80E48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on local services and support offers</w:t>
            </w:r>
          </w:p>
        </w:tc>
        <w:tc>
          <w:tcPr>
            <w:tcW w:w="3208" w:type="dxa"/>
          </w:tcPr>
          <w:p w14:paraId="6D0BEA27" w14:textId="31134342" w:rsidR="00B50E73" w:rsidRPr="00D80E48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better use of the Bury Directory and explore feasibility/ funding to develop a physical booklet</w:t>
            </w:r>
          </w:p>
        </w:tc>
        <w:tc>
          <w:tcPr>
            <w:tcW w:w="1540" w:type="dxa"/>
          </w:tcPr>
          <w:p w14:paraId="7D22D0B3" w14:textId="6309A405" w:rsidR="00B50E73" w:rsidRPr="00D80E48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BOPN/ VCFA/ BC (Public Health)</w:t>
            </w:r>
          </w:p>
        </w:tc>
        <w:tc>
          <w:tcPr>
            <w:tcW w:w="1795" w:type="dxa"/>
          </w:tcPr>
          <w:p w14:paraId="3BAD7104" w14:textId="28A4C790" w:rsidR="00B50E73" w:rsidRPr="00D80E48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827" w:type="dxa"/>
          </w:tcPr>
          <w:p w14:paraId="1BD5031C" w14:textId="67BFC41F" w:rsidR="00B50E73" w:rsidRDefault="00B50E73" w:rsidP="008D6E41">
            <w:pPr>
              <w:rPr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>A key services leaflet was designed and printed – build on this potentially using the five ways to wellbeing as a framework.</w:t>
            </w:r>
          </w:p>
          <w:p w14:paraId="0E55A6AA" w14:textId="77777777" w:rsidR="00462B16" w:rsidRDefault="00462B16" w:rsidP="008D6E41">
            <w:pPr>
              <w:rPr>
                <w:sz w:val="24"/>
                <w:szCs w:val="24"/>
              </w:rPr>
            </w:pPr>
          </w:p>
          <w:p w14:paraId="7A7AD270" w14:textId="65B61B0D" w:rsidR="00462B16" w:rsidRPr="00B50E73" w:rsidRDefault="00462B16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55A58">
              <w:rPr>
                <w:sz w:val="24"/>
                <w:szCs w:val="24"/>
              </w:rPr>
              <w:t xml:space="preserve">lanning for the </w:t>
            </w:r>
            <w:r>
              <w:rPr>
                <w:sz w:val="24"/>
                <w:szCs w:val="24"/>
              </w:rPr>
              <w:t>f</w:t>
            </w:r>
            <w:r w:rsidRPr="00455A58">
              <w:rPr>
                <w:sz w:val="24"/>
                <w:szCs w:val="24"/>
              </w:rPr>
              <w:t>uture</w:t>
            </w:r>
            <w:r w:rsidR="00041D98">
              <w:rPr>
                <w:sz w:val="24"/>
                <w:szCs w:val="24"/>
              </w:rPr>
              <w:t>: Make your own decisions. Conversations with family should be included in any potential booklet or</w:t>
            </w:r>
            <w:r>
              <w:rPr>
                <w:sz w:val="24"/>
                <w:szCs w:val="24"/>
              </w:rPr>
              <w:t xml:space="preserve"> directory.</w:t>
            </w:r>
          </w:p>
          <w:p w14:paraId="2359FAA8" w14:textId="77777777" w:rsidR="00B50E73" w:rsidRDefault="00B50E73" w:rsidP="008D6E41">
            <w:pPr>
              <w:rPr>
                <w:sz w:val="24"/>
                <w:szCs w:val="24"/>
              </w:rPr>
            </w:pPr>
          </w:p>
          <w:p w14:paraId="174C6E64" w14:textId="42FC1457" w:rsidR="00B50E73" w:rsidRDefault="00B50E73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engaged in user testing for the new adult social care website and Bury Directory improvements</w:t>
            </w:r>
          </w:p>
          <w:p w14:paraId="07D58863" w14:textId="06843418" w:rsidR="00B50E73" w:rsidRPr="00D80E48" w:rsidRDefault="00B50E73" w:rsidP="008D6E41">
            <w:pPr>
              <w:rPr>
                <w:sz w:val="24"/>
                <w:szCs w:val="24"/>
              </w:rPr>
            </w:pPr>
          </w:p>
        </w:tc>
      </w:tr>
      <w:tr w:rsidR="00B50E73" w:rsidRPr="00D80E48" w14:paraId="3627E24A" w14:textId="77777777" w:rsidTr="001D326F">
        <w:tc>
          <w:tcPr>
            <w:tcW w:w="981" w:type="dxa"/>
            <w:vMerge/>
            <w:textDirection w:val="btLr"/>
            <w:vAlign w:val="center"/>
          </w:tcPr>
          <w:p w14:paraId="0F711A39" w14:textId="77777777" w:rsidR="00B50E73" w:rsidRPr="00455A58" w:rsidRDefault="00B50E73" w:rsidP="00455A58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86" w:type="dxa"/>
          </w:tcPr>
          <w:p w14:paraId="0107BAE7" w14:textId="1A5CAF29" w:rsidR="00B50E73" w:rsidRPr="00B50E73" w:rsidRDefault="00B50E73" w:rsidP="008D6E41">
            <w:pPr>
              <w:rPr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>Active Ageing</w:t>
            </w:r>
          </w:p>
        </w:tc>
        <w:tc>
          <w:tcPr>
            <w:tcW w:w="3208" w:type="dxa"/>
          </w:tcPr>
          <w:p w14:paraId="40F6BFB0" w14:textId="77777777" w:rsidR="00B50E73" w:rsidRPr="00B50E73" w:rsidRDefault="00B50E73" w:rsidP="008D6E41">
            <w:pPr>
              <w:rPr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>Ensure older people are support and encourage to be physical activity for both mental and physical wellbeing</w:t>
            </w:r>
          </w:p>
          <w:p w14:paraId="2099DA41" w14:textId="363D5506" w:rsidR="00B50E73" w:rsidRPr="00B50E73" w:rsidRDefault="00B50E73" w:rsidP="008D6E4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956BB24" w14:textId="7E4C2832" w:rsidR="00B50E73" w:rsidRPr="00B50E73" w:rsidRDefault="00B50E73" w:rsidP="008D6E41">
            <w:pPr>
              <w:rPr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 xml:space="preserve">BOPN / BC Staying Well / BC Live Well / GM Moving </w:t>
            </w:r>
          </w:p>
        </w:tc>
        <w:tc>
          <w:tcPr>
            <w:tcW w:w="1795" w:type="dxa"/>
          </w:tcPr>
          <w:p w14:paraId="1F563D04" w14:textId="18B02416" w:rsidR="00B50E73" w:rsidRPr="006A67CD" w:rsidRDefault="00B50E73" w:rsidP="008D6E41">
            <w:pPr>
              <w:rPr>
                <w:color w:val="FF0000"/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>TBC Work not yet starte</w:t>
            </w:r>
            <w:r w:rsidR="00462B16">
              <w:rPr>
                <w:sz w:val="24"/>
                <w:szCs w:val="24"/>
              </w:rPr>
              <w:t>d</w:t>
            </w:r>
            <w:r w:rsidRPr="00B50E73">
              <w:rPr>
                <w:sz w:val="24"/>
                <w:szCs w:val="24"/>
              </w:rPr>
              <w:t xml:space="preserve"> – new piece of work</w:t>
            </w:r>
          </w:p>
        </w:tc>
        <w:tc>
          <w:tcPr>
            <w:tcW w:w="3827" w:type="dxa"/>
          </w:tcPr>
          <w:p w14:paraId="4A6F9805" w14:textId="41BCAB85" w:rsidR="00B50E73" w:rsidRPr="006A67CD" w:rsidRDefault="00B50E73" w:rsidP="008D6E41">
            <w:pPr>
              <w:rPr>
                <w:color w:val="FF0000"/>
                <w:sz w:val="24"/>
                <w:szCs w:val="24"/>
              </w:rPr>
            </w:pPr>
            <w:r w:rsidRPr="00B50E73">
              <w:rPr>
                <w:sz w:val="24"/>
                <w:szCs w:val="24"/>
              </w:rPr>
              <w:t xml:space="preserve">This is not just </w:t>
            </w:r>
            <w:proofErr w:type="gramStart"/>
            <w:r w:rsidR="00041D98">
              <w:rPr>
                <w:sz w:val="24"/>
                <w:szCs w:val="24"/>
              </w:rPr>
              <w:t>fall</w:t>
            </w:r>
            <w:proofErr w:type="gramEnd"/>
            <w:r w:rsidRPr="00B50E73">
              <w:rPr>
                <w:sz w:val="24"/>
                <w:szCs w:val="24"/>
              </w:rPr>
              <w:t xml:space="preserve"> prevention and </w:t>
            </w:r>
            <w:r w:rsidR="00041D98">
              <w:rPr>
                <w:sz w:val="24"/>
                <w:szCs w:val="24"/>
              </w:rPr>
              <w:t>chair-based</w:t>
            </w:r>
            <w:r w:rsidRPr="00B50E73">
              <w:rPr>
                <w:sz w:val="24"/>
                <w:szCs w:val="24"/>
              </w:rPr>
              <w:t xml:space="preserve"> activity but the broader physical activity offer for older people</w:t>
            </w:r>
          </w:p>
        </w:tc>
      </w:tr>
      <w:tr w:rsidR="001F07CA" w:rsidRPr="00D80E48" w14:paraId="785476F8" w14:textId="77777777" w:rsidTr="001D326F">
        <w:tc>
          <w:tcPr>
            <w:tcW w:w="981" w:type="dxa"/>
            <w:vMerge w:val="restart"/>
            <w:textDirection w:val="btLr"/>
            <w:vAlign w:val="center"/>
          </w:tcPr>
          <w:p w14:paraId="52D27AA2" w14:textId="4E0AB8B3" w:rsidR="001F07CA" w:rsidRPr="00455A58" w:rsidRDefault="001F07CA" w:rsidP="00455A58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455A58">
              <w:rPr>
                <w:b/>
                <w:bCs/>
                <w:sz w:val="32"/>
                <w:szCs w:val="32"/>
              </w:rPr>
              <w:lastRenderedPageBreak/>
              <w:t>Social Care</w:t>
            </w:r>
          </w:p>
        </w:tc>
        <w:tc>
          <w:tcPr>
            <w:tcW w:w="3386" w:type="dxa"/>
          </w:tcPr>
          <w:p w14:paraId="6FB77C21" w14:textId="65819E5E" w:rsidR="001F07CA" w:rsidRPr="00462B16" w:rsidRDefault="001F07CA" w:rsidP="00455A58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Ongoing codesign and co</w:t>
            </w:r>
            <w:r w:rsidR="002D08E9" w:rsidRPr="00462B16">
              <w:rPr>
                <w:sz w:val="24"/>
                <w:szCs w:val="24"/>
              </w:rPr>
              <w:t xml:space="preserve">- </w:t>
            </w:r>
            <w:r w:rsidR="00B50E73" w:rsidRPr="00462B16">
              <w:rPr>
                <w:sz w:val="24"/>
                <w:szCs w:val="24"/>
              </w:rPr>
              <w:t>production</w:t>
            </w:r>
            <w:r w:rsidRPr="00462B16">
              <w:rPr>
                <w:sz w:val="24"/>
                <w:szCs w:val="24"/>
              </w:rPr>
              <w:t xml:space="preserve"> of key services development and changed.</w:t>
            </w:r>
          </w:p>
        </w:tc>
        <w:tc>
          <w:tcPr>
            <w:tcW w:w="3208" w:type="dxa"/>
          </w:tcPr>
          <w:p w14:paraId="0D9CF3F7" w14:textId="77777777" w:rsidR="001F07CA" w:rsidRPr="00462B16" w:rsidRDefault="002D08E9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As mentioned above the network is already involved at the Care at Home tender – ensuring this work continues as services evolve or are tendered / retendered</w:t>
            </w:r>
          </w:p>
          <w:p w14:paraId="6D21F1AD" w14:textId="32511761" w:rsidR="002D08E9" w:rsidRPr="00462B16" w:rsidRDefault="002D08E9" w:rsidP="008D6E4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A416512" w14:textId="4F0774E4" w:rsidR="001F07CA" w:rsidRPr="00462B16" w:rsidRDefault="002D08E9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 xml:space="preserve">BOPN / Bury Council </w:t>
            </w:r>
          </w:p>
        </w:tc>
        <w:tc>
          <w:tcPr>
            <w:tcW w:w="1795" w:type="dxa"/>
          </w:tcPr>
          <w:p w14:paraId="49CF3AAE" w14:textId="4C85792B" w:rsidR="001F07CA" w:rsidRPr="00462B16" w:rsidRDefault="00462B16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This work is yet to be started</w:t>
            </w:r>
          </w:p>
        </w:tc>
        <w:tc>
          <w:tcPr>
            <w:tcW w:w="3827" w:type="dxa"/>
          </w:tcPr>
          <w:p w14:paraId="2E0B0891" w14:textId="7B9FDAB3" w:rsidR="001F07CA" w:rsidRPr="00462B16" w:rsidRDefault="00462B16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Extra Care Housing Strategy in the pipeline with timeline tbc</w:t>
            </w:r>
          </w:p>
        </w:tc>
      </w:tr>
      <w:tr w:rsidR="001F07CA" w:rsidRPr="00D80E48" w14:paraId="056E2EE8" w14:textId="77777777" w:rsidTr="001D326F">
        <w:tc>
          <w:tcPr>
            <w:tcW w:w="981" w:type="dxa"/>
            <w:vMerge/>
          </w:tcPr>
          <w:p w14:paraId="29815113" w14:textId="77777777" w:rsidR="001F07CA" w:rsidRDefault="001F07CA" w:rsidP="008D6E41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</w:tcPr>
          <w:p w14:paraId="53EF365D" w14:textId="77777777" w:rsidR="001F07CA" w:rsidRPr="00462B16" w:rsidRDefault="00154D1F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Workforce training and support</w:t>
            </w:r>
          </w:p>
          <w:p w14:paraId="611012ED" w14:textId="7DA83C52" w:rsidR="00154D1F" w:rsidRPr="00462B16" w:rsidRDefault="00154D1F" w:rsidP="008D6E41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14:paraId="7A0E339B" w14:textId="77777777" w:rsidR="001F07CA" w:rsidRPr="00462B16" w:rsidRDefault="00154D1F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 xml:space="preserve">Supporting the social care workforce to be more age aware and be able to signpost to broader services available </w:t>
            </w:r>
          </w:p>
          <w:p w14:paraId="40B303CF" w14:textId="3B9A9518" w:rsidR="00154D1F" w:rsidRPr="00462B16" w:rsidRDefault="00154D1F" w:rsidP="008D6E4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EA603C0" w14:textId="5563621F" w:rsidR="001F07CA" w:rsidRPr="00462B16" w:rsidRDefault="00154D1F" w:rsidP="008D6E41">
            <w:pPr>
              <w:rPr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 xml:space="preserve">BOPN / </w:t>
            </w:r>
            <w:r w:rsidR="007F1543" w:rsidRPr="00462B16">
              <w:rPr>
                <w:sz w:val="24"/>
                <w:szCs w:val="24"/>
              </w:rPr>
              <w:t xml:space="preserve">BC / </w:t>
            </w:r>
            <w:r w:rsidR="00462B16" w:rsidRPr="00462B16">
              <w:rPr>
                <w:sz w:val="24"/>
                <w:szCs w:val="24"/>
              </w:rPr>
              <w:t>Staying Well / Bury Health System</w:t>
            </w:r>
            <w:r w:rsidR="007F1543" w:rsidRPr="00462B16">
              <w:rPr>
                <w:sz w:val="24"/>
                <w:szCs w:val="24"/>
              </w:rPr>
              <w:t xml:space="preserve"> / VCSE orgs / Private business</w:t>
            </w:r>
          </w:p>
        </w:tc>
        <w:tc>
          <w:tcPr>
            <w:tcW w:w="1795" w:type="dxa"/>
          </w:tcPr>
          <w:p w14:paraId="31EAB7A4" w14:textId="37C45AA4" w:rsidR="001F07CA" w:rsidRPr="007F1543" w:rsidRDefault="00462B16" w:rsidP="008D6E41">
            <w:pPr>
              <w:rPr>
                <w:color w:val="FF0000"/>
                <w:sz w:val="24"/>
                <w:szCs w:val="24"/>
              </w:rPr>
            </w:pPr>
            <w:r w:rsidRPr="00462B16">
              <w:rPr>
                <w:sz w:val="24"/>
                <w:szCs w:val="24"/>
              </w:rPr>
              <w:t>This work is yet to be started</w:t>
            </w:r>
          </w:p>
        </w:tc>
        <w:tc>
          <w:tcPr>
            <w:tcW w:w="3827" w:type="dxa"/>
          </w:tcPr>
          <w:p w14:paraId="1493CEB8" w14:textId="3DD6F3F6" w:rsidR="001F07CA" w:rsidRDefault="00462B16" w:rsidP="00287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this may be resolved by the leaflet above.</w:t>
            </w:r>
          </w:p>
        </w:tc>
      </w:tr>
      <w:tr w:rsidR="001F07CA" w:rsidRPr="00D80E48" w14:paraId="1A416775" w14:textId="77777777" w:rsidTr="001D326F">
        <w:tc>
          <w:tcPr>
            <w:tcW w:w="981" w:type="dxa"/>
            <w:vMerge/>
          </w:tcPr>
          <w:p w14:paraId="543B431A" w14:textId="77777777" w:rsidR="001F07CA" w:rsidRDefault="001F07CA" w:rsidP="008D6E41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</w:tcPr>
          <w:p w14:paraId="008A176A" w14:textId="499E9DB0" w:rsidR="001F07CA" w:rsidRPr="00455A58" w:rsidRDefault="001F07CA" w:rsidP="008D6E41">
            <w:pPr>
              <w:rPr>
                <w:sz w:val="24"/>
                <w:szCs w:val="24"/>
              </w:rPr>
            </w:pPr>
            <w:r w:rsidRPr="00455A58">
              <w:rPr>
                <w:sz w:val="24"/>
                <w:szCs w:val="24"/>
              </w:rPr>
              <w:t>Support Bury CQC Inspection</w:t>
            </w:r>
          </w:p>
        </w:tc>
        <w:tc>
          <w:tcPr>
            <w:tcW w:w="3208" w:type="dxa"/>
          </w:tcPr>
          <w:p w14:paraId="4CB0DE40" w14:textId="0E1D0B80" w:rsidR="001F07CA" w:rsidRPr="00455A58" w:rsidRDefault="001F07CA" w:rsidP="008D6E41">
            <w:pPr>
              <w:rPr>
                <w:sz w:val="24"/>
                <w:szCs w:val="24"/>
              </w:rPr>
            </w:pPr>
            <w:r w:rsidRPr="00455A58">
              <w:rPr>
                <w:sz w:val="24"/>
                <w:szCs w:val="24"/>
              </w:rPr>
              <w:t>Be available to engage with inspectors to talk about experiences as a network / individual</w:t>
            </w:r>
          </w:p>
        </w:tc>
        <w:tc>
          <w:tcPr>
            <w:tcW w:w="1540" w:type="dxa"/>
          </w:tcPr>
          <w:p w14:paraId="384B258D" w14:textId="13FF9255" w:rsidR="001F07CA" w:rsidRPr="00455A58" w:rsidRDefault="001F07CA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BOPN/ VCFA/ BC </w:t>
            </w:r>
          </w:p>
        </w:tc>
        <w:tc>
          <w:tcPr>
            <w:tcW w:w="1795" w:type="dxa"/>
          </w:tcPr>
          <w:p w14:paraId="3959AE69" w14:textId="77777777" w:rsidR="001F07CA" w:rsidRDefault="001F07CA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25</w:t>
            </w:r>
          </w:p>
          <w:p w14:paraId="3E875744" w14:textId="77777777" w:rsidR="001F07CA" w:rsidRDefault="001F07CA" w:rsidP="008D6E41">
            <w:pPr>
              <w:rPr>
                <w:sz w:val="24"/>
                <w:szCs w:val="24"/>
              </w:rPr>
            </w:pPr>
          </w:p>
          <w:p w14:paraId="35EC7188" w14:textId="31F06AB3" w:rsidR="001F07CA" w:rsidRPr="00455A58" w:rsidRDefault="001F07CA" w:rsidP="008D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3827" w:type="dxa"/>
          </w:tcPr>
          <w:p w14:paraId="23E8686C" w14:textId="43914B40" w:rsidR="001F07CA" w:rsidRPr="00455A58" w:rsidRDefault="001F07CA" w:rsidP="00287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BOPN part of the lived experience interviews for the LGA Audit.</w:t>
            </w:r>
          </w:p>
          <w:p w14:paraId="4ACC4A0B" w14:textId="25FABEF1" w:rsidR="001F07CA" w:rsidRPr="00455A58" w:rsidRDefault="001F07CA" w:rsidP="008D6E41">
            <w:pPr>
              <w:rPr>
                <w:sz w:val="24"/>
                <w:szCs w:val="24"/>
              </w:rPr>
            </w:pPr>
          </w:p>
        </w:tc>
      </w:tr>
    </w:tbl>
    <w:p w14:paraId="22CE05DC" w14:textId="77777777" w:rsidR="00D851B5" w:rsidRDefault="00D851B5"/>
    <w:p w14:paraId="68C0D803" w14:textId="66BC2B65" w:rsidR="00A86A21" w:rsidRDefault="00A86A21"/>
    <w:sectPr w:rsidR="00A86A21" w:rsidSect="001D326F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F05E" w14:textId="77777777" w:rsidR="008732F7" w:rsidRDefault="008732F7" w:rsidP="00535ACC">
      <w:pPr>
        <w:spacing w:after="0" w:line="240" w:lineRule="auto"/>
      </w:pPr>
      <w:r>
        <w:separator/>
      </w:r>
    </w:p>
  </w:endnote>
  <w:endnote w:type="continuationSeparator" w:id="0">
    <w:p w14:paraId="08F1B4E7" w14:textId="77777777" w:rsidR="008732F7" w:rsidRDefault="008732F7" w:rsidP="0053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52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1C28" w14:textId="1D523005" w:rsidR="00535ACC" w:rsidRDefault="00535A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2359B" w14:textId="77777777" w:rsidR="00535ACC" w:rsidRDefault="00535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06F6" w14:textId="77777777" w:rsidR="008732F7" w:rsidRDefault="008732F7" w:rsidP="00535ACC">
      <w:pPr>
        <w:spacing w:after="0" w:line="240" w:lineRule="auto"/>
      </w:pPr>
      <w:r>
        <w:separator/>
      </w:r>
    </w:p>
  </w:footnote>
  <w:footnote w:type="continuationSeparator" w:id="0">
    <w:p w14:paraId="0508BF2A" w14:textId="77777777" w:rsidR="008732F7" w:rsidRDefault="008732F7" w:rsidP="0053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2B9"/>
    <w:multiLevelType w:val="hybridMultilevel"/>
    <w:tmpl w:val="4262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D83"/>
    <w:multiLevelType w:val="hybridMultilevel"/>
    <w:tmpl w:val="07B2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C6EAD"/>
    <w:multiLevelType w:val="hybridMultilevel"/>
    <w:tmpl w:val="B7BE857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D693ED5"/>
    <w:multiLevelType w:val="hybridMultilevel"/>
    <w:tmpl w:val="755C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234E"/>
    <w:multiLevelType w:val="hybridMultilevel"/>
    <w:tmpl w:val="43B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2983"/>
    <w:multiLevelType w:val="hybridMultilevel"/>
    <w:tmpl w:val="9E6C11B6"/>
    <w:lvl w:ilvl="0" w:tplc="DE68B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A01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E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E5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C7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6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103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6A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E1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851A81"/>
    <w:multiLevelType w:val="hybridMultilevel"/>
    <w:tmpl w:val="120A6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F71F9"/>
    <w:multiLevelType w:val="hybridMultilevel"/>
    <w:tmpl w:val="5F269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3E4ACF"/>
    <w:multiLevelType w:val="hybridMultilevel"/>
    <w:tmpl w:val="3C16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4D27"/>
    <w:multiLevelType w:val="hybridMultilevel"/>
    <w:tmpl w:val="4EC2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689A"/>
    <w:multiLevelType w:val="hybridMultilevel"/>
    <w:tmpl w:val="325E9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105F9"/>
    <w:multiLevelType w:val="hybridMultilevel"/>
    <w:tmpl w:val="3454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598C"/>
    <w:multiLevelType w:val="hybridMultilevel"/>
    <w:tmpl w:val="5B2E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D56BA"/>
    <w:multiLevelType w:val="hybridMultilevel"/>
    <w:tmpl w:val="A8AC68F8"/>
    <w:lvl w:ilvl="0" w:tplc="51D83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0C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2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25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4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8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B6F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26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8B11DEF"/>
    <w:multiLevelType w:val="hybridMultilevel"/>
    <w:tmpl w:val="421A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83399"/>
    <w:multiLevelType w:val="hybridMultilevel"/>
    <w:tmpl w:val="6C50B710"/>
    <w:lvl w:ilvl="0" w:tplc="753E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61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4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0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E49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AA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8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E8C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4A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BD32D63"/>
    <w:multiLevelType w:val="hybridMultilevel"/>
    <w:tmpl w:val="DC20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40372"/>
    <w:multiLevelType w:val="hybridMultilevel"/>
    <w:tmpl w:val="D7DCA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145080">
    <w:abstractNumId w:val="9"/>
  </w:num>
  <w:num w:numId="2" w16cid:durableId="520902852">
    <w:abstractNumId w:val="2"/>
  </w:num>
  <w:num w:numId="3" w16cid:durableId="1962220658">
    <w:abstractNumId w:val="16"/>
  </w:num>
  <w:num w:numId="4" w16cid:durableId="1939022629">
    <w:abstractNumId w:val="0"/>
  </w:num>
  <w:num w:numId="5" w16cid:durableId="1812362471">
    <w:abstractNumId w:val="1"/>
  </w:num>
  <w:num w:numId="6" w16cid:durableId="438180659">
    <w:abstractNumId w:val="5"/>
  </w:num>
  <w:num w:numId="7" w16cid:durableId="470096801">
    <w:abstractNumId w:val="6"/>
  </w:num>
  <w:num w:numId="8" w16cid:durableId="1427655160">
    <w:abstractNumId w:val="15"/>
  </w:num>
  <w:num w:numId="9" w16cid:durableId="1276214189">
    <w:abstractNumId w:val="13"/>
  </w:num>
  <w:num w:numId="10" w16cid:durableId="2031174392">
    <w:abstractNumId w:val="11"/>
  </w:num>
  <w:num w:numId="11" w16cid:durableId="833882585">
    <w:abstractNumId w:val="14"/>
  </w:num>
  <w:num w:numId="12" w16cid:durableId="742146039">
    <w:abstractNumId w:val="4"/>
  </w:num>
  <w:num w:numId="13" w16cid:durableId="1703283848">
    <w:abstractNumId w:val="17"/>
  </w:num>
  <w:num w:numId="14" w16cid:durableId="341393039">
    <w:abstractNumId w:val="3"/>
  </w:num>
  <w:num w:numId="15" w16cid:durableId="2017490610">
    <w:abstractNumId w:val="10"/>
  </w:num>
  <w:num w:numId="16" w16cid:durableId="2031880780">
    <w:abstractNumId w:val="8"/>
  </w:num>
  <w:num w:numId="17" w16cid:durableId="1046486425">
    <w:abstractNumId w:val="12"/>
  </w:num>
  <w:num w:numId="18" w16cid:durableId="18644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1"/>
    <w:rsid w:val="00003706"/>
    <w:rsid w:val="0000472D"/>
    <w:rsid w:val="00006467"/>
    <w:rsid w:val="00022310"/>
    <w:rsid w:val="000223EB"/>
    <w:rsid w:val="00041D98"/>
    <w:rsid w:val="00053E73"/>
    <w:rsid w:val="00072763"/>
    <w:rsid w:val="0007381D"/>
    <w:rsid w:val="00082C82"/>
    <w:rsid w:val="00083404"/>
    <w:rsid w:val="00083613"/>
    <w:rsid w:val="00087245"/>
    <w:rsid w:val="00093401"/>
    <w:rsid w:val="00096F4A"/>
    <w:rsid w:val="000B1643"/>
    <w:rsid w:val="000B7DCE"/>
    <w:rsid w:val="000C0C73"/>
    <w:rsid w:val="000C0E37"/>
    <w:rsid w:val="000C47C7"/>
    <w:rsid w:val="000C4A22"/>
    <w:rsid w:val="000D3BA2"/>
    <w:rsid w:val="000D63A4"/>
    <w:rsid w:val="000F66F7"/>
    <w:rsid w:val="00110E2D"/>
    <w:rsid w:val="00112791"/>
    <w:rsid w:val="00115C49"/>
    <w:rsid w:val="00127326"/>
    <w:rsid w:val="00141C1E"/>
    <w:rsid w:val="00154D1F"/>
    <w:rsid w:val="001627B4"/>
    <w:rsid w:val="0017563D"/>
    <w:rsid w:val="00184034"/>
    <w:rsid w:val="00185944"/>
    <w:rsid w:val="001B096B"/>
    <w:rsid w:val="001B0BA7"/>
    <w:rsid w:val="001B511E"/>
    <w:rsid w:val="001C098D"/>
    <w:rsid w:val="001C2537"/>
    <w:rsid w:val="001C4828"/>
    <w:rsid w:val="001D326F"/>
    <w:rsid w:val="001D5A96"/>
    <w:rsid w:val="001F07CA"/>
    <w:rsid w:val="002043E2"/>
    <w:rsid w:val="0020464E"/>
    <w:rsid w:val="0021126B"/>
    <w:rsid w:val="00215CAA"/>
    <w:rsid w:val="002219B8"/>
    <w:rsid w:val="002239B8"/>
    <w:rsid w:val="00234996"/>
    <w:rsid w:val="00234ED0"/>
    <w:rsid w:val="00237A43"/>
    <w:rsid w:val="0025378C"/>
    <w:rsid w:val="002537E3"/>
    <w:rsid w:val="0026060A"/>
    <w:rsid w:val="00276849"/>
    <w:rsid w:val="00287434"/>
    <w:rsid w:val="00295205"/>
    <w:rsid w:val="002A46E1"/>
    <w:rsid w:val="002D08E9"/>
    <w:rsid w:val="002D1A35"/>
    <w:rsid w:val="002D1AB5"/>
    <w:rsid w:val="002E1AC6"/>
    <w:rsid w:val="003048AE"/>
    <w:rsid w:val="003051B3"/>
    <w:rsid w:val="00305DDD"/>
    <w:rsid w:val="003136EE"/>
    <w:rsid w:val="00321099"/>
    <w:rsid w:val="00341261"/>
    <w:rsid w:val="0034326F"/>
    <w:rsid w:val="00343678"/>
    <w:rsid w:val="00356705"/>
    <w:rsid w:val="003619BE"/>
    <w:rsid w:val="003637CE"/>
    <w:rsid w:val="0037544C"/>
    <w:rsid w:val="00385AD5"/>
    <w:rsid w:val="00395CAB"/>
    <w:rsid w:val="003A07A0"/>
    <w:rsid w:val="003A141E"/>
    <w:rsid w:val="003B009C"/>
    <w:rsid w:val="003B1783"/>
    <w:rsid w:val="003B3006"/>
    <w:rsid w:val="003B718A"/>
    <w:rsid w:val="003C22F4"/>
    <w:rsid w:val="003C71FC"/>
    <w:rsid w:val="003E7225"/>
    <w:rsid w:val="003F0E68"/>
    <w:rsid w:val="00401C26"/>
    <w:rsid w:val="0040559D"/>
    <w:rsid w:val="00415F25"/>
    <w:rsid w:val="00416073"/>
    <w:rsid w:val="0043410E"/>
    <w:rsid w:val="0044332D"/>
    <w:rsid w:val="00455A58"/>
    <w:rsid w:val="00461EF7"/>
    <w:rsid w:val="00462B16"/>
    <w:rsid w:val="0047042C"/>
    <w:rsid w:val="0047145F"/>
    <w:rsid w:val="00496970"/>
    <w:rsid w:val="004A369E"/>
    <w:rsid w:val="004B2D5C"/>
    <w:rsid w:val="004B7E72"/>
    <w:rsid w:val="004C1E76"/>
    <w:rsid w:val="004C55EF"/>
    <w:rsid w:val="004D3CA4"/>
    <w:rsid w:val="004D75CF"/>
    <w:rsid w:val="004E13FC"/>
    <w:rsid w:val="004E2BE4"/>
    <w:rsid w:val="004E6F84"/>
    <w:rsid w:val="0051011C"/>
    <w:rsid w:val="00522EBE"/>
    <w:rsid w:val="00523171"/>
    <w:rsid w:val="00535439"/>
    <w:rsid w:val="00535ACC"/>
    <w:rsid w:val="005432BB"/>
    <w:rsid w:val="005468BE"/>
    <w:rsid w:val="00561CA1"/>
    <w:rsid w:val="00563BCD"/>
    <w:rsid w:val="0057593F"/>
    <w:rsid w:val="00577AA9"/>
    <w:rsid w:val="00593007"/>
    <w:rsid w:val="00594EBC"/>
    <w:rsid w:val="005A1605"/>
    <w:rsid w:val="005A3A04"/>
    <w:rsid w:val="005B2607"/>
    <w:rsid w:val="005D557B"/>
    <w:rsid w:val="005E329C"/>
    <w:rsid w:val="006034BB"/>
    <w:rsid w:val="00611543"/>
    <w:rsid w:val="00613F7C"/>
    <w:rsid w:val="006433D9"/>
    <w:rsid w:val="006556DE"/>
    <w:rsid w:val="00661D41"/>
    <w:rsid w:val="00664052"/>
    <w:rsid w:val="00664FEA"/>
    <w:rsid w:val="00677860"/>
    <w:rsid w:val="006861B1"/>
    <w:rsid w:val="00695EF1"/>
    <w:rsid w:val="006A67CD"/>
    <w:rsid w:val="006A7476"/>
    <w:rsid w:val="006B6CAC"/>
    <w:rsid w:val="006C2358"/>
    <w:rsid w:val="006C7AB3"/>
    <w:rsid w:val="006D2DBF"/>
    <w:rsid w:val="006D605F"/>
    <w:rsid w:val="006E6D78"/>
    <w:rsid w:val="006F52BD"/>
    <w:rsid w:val="007074A2"/>
    <w:rsid w:val="00713843"/>
    <w:rsid w:val="0072196B"/>
    <w:rsid w:val="00757AC5"/>
    <w:rsid w:val="00757DD5"/>
    <w:rsid w:val="00763BFF"/>
    <w:rsid w:val="00771B57"/>
    <w:rsid w:val="00774BF6"/>
    <w:rsid w:val="00775B89"/>
    <w:rsid w:val="00776DEA"/>
    <w:rsid w:val="0077767A"/>
    <w:rsid w:val="007824CD"/>
    <w:rsid w:val="00794296"/>
    <w:rsid w:val="007A5FD3"/>
    <w:rsid w:val="007A67B6"/>
    <w:rsid w:val="007B62AE"/>
    <w:rsid w:val="007B7095"/>
    <w:rsid w:val="007C1E70"/>
    <w:rsid w:val="007C1F26"/>
    <w:rsid w:val="007E0B94"/>
    <w:rsid w:val="007F1543"/>
    <w:rsid w:val="007F1CA9"/>
    <w:rsid w:val="007F5CF8"/>
    <w:rsid w:val="00800FA9"/>
    <w:rsid w:val="00805893"/>
    <w:rsid w:val="00815981"/>
    <w:rsid w:val="008171C1"/>
    <w:rsid w:val="00823280"/>
    <w:rsid w:val="00831B47"/>
    <w:rsid w:val="00840615"/>
    <w:rsid w:val="0084676A"/>
    <w:rsid w:val="00861002"/>
    <w:rsid w:val="00865CC1"/>
    <w:rsid w:val="008732F7"/>
    <w:rsid w:val="00880F26"/>
    <w:rsid w:val="00885411"/>
    <w:rsid w:val="00891B08"/>
    <w:rsid w:val="008B47D4"/>
    <w:rsid w:val="008B48F4"/>
    <w:rsid w:val="008D2C9D"/>
    <w:rsid w:val="008E28B7"/>
    <w:rsid w:val="008E7788"/>
    <w:rsid w:val="0090373F"/>
    <w:rsid w:val="009039F1"/>
    <w:rsid w:val="00936E9E"/>
    <w:rsid w:val="00940533"/>
    <w:rsid w:val="00942DCF"/>
    <w:rsid w:val="00944603"/>
    <w:rsid w:val="00952884"/>
    <w:rsid w:val="00954947"/>
    <w:rsid w:val="0096238F"/>
    <w:rsid w:val="0096322A"/>
    <w:rsid w:val="00967DAA"/>
    <w:rsid w:val="0098356B"/>
    <w:rsid w:val="00990B88"/>
    <w:rsid w:val="009A006E"/>
    <w:rsid w:val="009A314A"/>
    <w:rsid w:val="009A3F22"/>
    <w:rsid w:val="009A725C"/>
    <w:rsid w:val="009B22FE"/>
    <w:rsid w:val="009C0B20"/>
    <w:rsid w:val="009C4D70"/>
    <w:rsid w:val="009D7E20"/>
    <w:rsid w:val="009E5442"/>
    <w:rsid w:val="009E5ECD"/>
    <w:rsid w:val="009F10D0"/>
    <w:rsid w:val="009F14E4"/>
    <w:rsid w:val="009F39BD"/>
    <w:rsid w:val="009F6BAE"/>
    <w:rsid w:val="00A077BD"/>
    <w:rsid w:val="00A10708"/>
    <w:rsid w:val="00A12FD8"/>
    <w:rsid w:val="00A14662"/>
    <w:rsid w:val="00A315B0"/>
    <w:rsid w:val="00A351F5"/>
    <w:rsid w:val="00A479B1"/>
    <w:rsid w:val="00A5075C"/>
    <w:rsid w:val="00A524C2"/>
    <w:rsid w:val="00A574ED"/>
    <w:rsid w:val="00A60EF1"/>
    <w:rsid w:val="00A65F75"/>
    <w:rsid w:val="00A86A21"/>
    <w:rsid w:val="00A96AC1"/>
    <w:rsid w:val="00AA441A"/>
    <w:rsid w:val="00AC1EC8"/>
    <w:rsid w:val="00AD6F8D"/>
    <w:rsid w:val="00AE0733"/>
    <w:rsid w:val="00AE0CCC"/>
    <w:rsid w:val="00AE5561"/>
    <w:rsid w:val="00AE6706"/>
    <w:rsid w:val="00AF74F1"/>
    <w:rsid w:val="00B07E93"/>
    <w:rsid w:val="00B20DCE"/>
    <w:rsid w:val="00B50E73"/>
    <w:rsid w:val="00B61F49"/>
    <w:rsid w:val="00B8144B"/>
    <w:rsid w:val="00B92424"/>
    <w:rsid w:val="00B94EF6"/>
    <w:rsid w:val="00BA2111"/>
    <w:rsid w:val="00BA6298"/>
    <w:rsid w:val="00BB1A0C"/>
    <w:rsid w:val="00BC05E6"/>
    <w:rsid w:val="00BC1492"/>
    <w:rsid w:val="00BC69C8"/>
    <w:rsid w:val="00BC72F6"/>
    <w:rsid w:val="00BD72A8"/>
    <w:rsid w:val="00BE3813"/>
    <w:rsid w:val="00BE3F0C"/>
    <w:rsid w:val="00BE3F5F"/>
    <w:rsid w:val="00BE5159"/>
    <w:rsid w:val="00BF2CF7"/>
    <w:rsid w:val="00BF430C"/>
    <w:rsid w:val="00C0588C"/>
    <w:rsid w:val="00C06574"/>
    <w:rsid w:val="00C11E0B"/>
    <w:rsid w:val="00C1589C"/>
    <w:rsid w:val="00C200CF"/>
    <w:rsid w:val="00C220E0"/>
    <w:rsid w:val="00C40196"/>
    <w:rsid w:val="00C4097E"/>
    <w:rsid w:val="00C458C2"/>
    <w:rsid w:val="00C620F7"/>
    <w:rsid w:val="00C65754"/>
    <w:rsid w:val="00C65AFA"/>
    <w:rsid w:val="00C71CCF"/>
    <w:rsid w:val="00C87776"/>
    <w:rsid w:val="00C91701"/>
    <w:rsid w:val="00C92A26"/>
    <w:rsid w:val="00CC2A09"/>
    <w:rsid w:val="00CC661F"/>
    <w:rsid w:val="00CD499C"/>
    <w:rsid w:val="00CD777D"/>
    <w:rsid w:val="00CE2ACD"/>
    <w:rsid w:val="00CE3598"/>
    <w:rsid w:val="00CF3282"/>
    <w:rsid w:val="00CF5202"/>
    <w:rsid w:val="00D22ED8"/>
    <w:rsid w:val="00D300CA"/>
    <w:rsid w:val="00D3346B"/>
    <w:rsid w:val="00D3642D"/>
    <w:rsid w:val="00D45976"/>
    <w:rsid w:val="00D461A7"/>
    <w:rsid w:val="00D51D9E"/>
    <w:rsid w:val="00D54383"/>
    <w:rsid w:val="00D547D8"/>
    <w:rsid w:val="00D74206"/>
    <w:rsid w:val="00D75E3E"/>
    <w:rsid w:val="00D80E48"/>
    <w:rsid w:val="00D851B5"/>
    <w:rsid w:val="00D91C3A"/>
    <w:rsid w:val="00D95A1F"/>
    <w:rsid w:val="00DC1139"/>
    <w:rsid w:val="00DC2A53"/>
    <w:rsid w:val="00DD01B5"/>
    <w:rsid w:val="00DD4BFA"/>
    <w:rsid w:val="00DD6201"/>
    <w:rsid w:val="00DE145C"/>
    <w:rsid w:val="00DF12DE"/>
    <w:rsid w:val="00E01A6E"/>
    <w:rsid w:val="00E01F57"/>
    <w:rsid w:val="00E04658"/>
    <w:rsid w:val="00E072CF"/>
    <w:rsid w:val="00E100E9"/>
    <w:rsid w:val="00E11392"/>
    <w:rsid w:val="00E22FA2"/>
    <w:rsid w:val="00E2669D"/>
    <w:rsid w:val="00E3062D"/>
    <w:rsid w:val="00E36AFA"/>
    <w:rsid w:val="00E420F1"/>
    <w:rsid w:val="00E47EC0"/>
    <w:rsid w:val="00E617AB"/>
    <w:rsid w:val="00E6784C"/>
    <w:rsid w:val="00E67D39"/>
    <w:rsid w:val="00E87B2D"/>
    <w:rsid w:val="00E9108A"/>
    <w:rsid w:val="00E91A22"/>
    <w:rsid w:val="00EB5B9D"/>
    <w:rsid w:val="00ED2334"/>
    <w:rsid w:val="00EE060A"/>
    <w:rsid w:val="00EF338A"/>
    <w:rsid w:val="00EF36FA"/>
    <w:rsid w:val="00EF6863"/>
    <w:rsid w:val="00F036B4"/>
    <w:rsid w:val="00F03780"/>
    <w:rsid w:val="00F0526E"/>
    <w:rsid w:val="00F07406"/>
    <w:rsid w:val="00F1280F"/>
    <w:rsid w:val="00F2510D"/>
    <w:rsid w:val="00F73E22"/>
    <w:rsid w:val="00F830EC"/>
    <w:rsid w:val="00F86F51"/>
    <w:rsid w:val="00F90087"/>
    <w:rsid w:val="00F97332"/>
    <w:rsid w:val="00FB1F7D"/>
    <w:rsid w:val="00FC4032"/>
    <w:rsid w:val="00FD6D72"/>
    <w:rsid w:val="00FD7860"/>
    <w:rsid w:val="00FE53EF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142D"/>
  <w15:chartTrackingRefBased/>
  <w15:docId w15:val="{1ACD8600-3F69-416A-BAA2-AA0183E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6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86A21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30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2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E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5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CC"/>
  </w:style>
  <w:style w:type="paragraph" w:styleId="Footer">
    <w:name w:val="footer"/>
    <w:basedOn w:val="Normal"/>
    <w:link w:val="FooterChar"/>
    <w:uiPriority w:val="99"/>
    <w:unhideWhenUsed/>
    <w:rsid w:val="00535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8" ma:contentTypeDescription="Create a new document." ma:contentTypeScope="" ma:versionID="25d4b323568388a35a326869b8decacd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6d402fa8ef9370e25504c382b80b77a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C83F5-B927-4122-A470-458F4ED02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B187F-B754-454F-B38D-FC0F92E5000D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79609EC5-04FE-4B0C-879D-10499152A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1409</Words>
  <Characters>7360</Characters>
  <Application>Microsoft Office Word</Application>
  <DocSecurity>0</DocSecurity>
  <Lines>613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Marie Wilson</cp:lastModifiedBy>
  <cp:revision>11</cp:revision>
  <dcterms:created xsi:type="dcterms:W3CDTF">2025-02-04T12:40:00Z</dcterms:created>
  <dcterms:modified xsi:type="dcterms:W3CDTF">2025-02-18T12:00:00Z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b10d37ef-a0fa-4379-98e8-4c9b3c3d2566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